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8E9BC" w14:textId="77777777" w:rsidR="00224E96" w:rsidRDefault="00224E96" w:rsidP="006C134D">
      <w:pPr>
        <w:spacing w:after="0" w:line="240" w:lineRule="auto"/>
        <w:jc w:val="center"/>
      </w:pPr>
      <w:bookmarkStart w:id="0" w:name="_GoBack"/>
      <w:bookmarkEnd w:id="0"/>
    </w:p>
    <w:p w14:paraId="7F0F2E92" w14:textId="641BBA80" w:rsidR="006C134D" w:rsidRDefault="006C134D" w:rsidP="006C134D">
      <w:pPr>
        <w:spacing w:after="0" w:line="240" w:lineRule="auto"/>
        <w:jc w:val="center"/>
      </w:pPr>
      <w:r w:rsidRPr="00E462F6">
        <w:rPr>
          <w:b/>
          <w:noProof/>
        </w:rPr>
        <w:drawing>
          <wp:inline distT="0" distB="0" distL="0" distR="0" wp14:anchorId="16CEAAE7" wp14:editId="117F10B3">
            <wp:extent cx="2270760" cy="1135380"/>
            <wp:effectExtent l="19050" t="19050" r="15240" b="2667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13538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946F27" w14:textId="77777777" w:rsidR="00224E96" w:rsidRDefault="00224E96" w:rsidP="006C134D">
      <w:pPr>
        <w:spacing w:after="0" w:line="240" w:lineRule="auto"/>
        <w:jc w:val="center"/>
      </w:pPr>
    </w:p>
    <w:p w14:paraId="047AA568" w14:textId="77777777" w:rsidR="006C134D" w:rsidRDefault="006C134D" w:rsidP="003F2646">
      <w:pPr>
        <w:spacing w:after="0" w:line="240" w:lineRule="auto"/>
      </w:pPr>
    </w:p>
    <w:p w14:paraId="4D305D71" w14:textId="5D3F3A61" w:rsidR="00B62438" w:rsidRPr="00E352EA" w:rsidRDefault="00E352EA" w:rsidP="00E352EA">
      <w:pPr>
        <w:spacing w:after="0" w:line="240" w:lineRule="auto"/>
        <w:jc w:val="center"/>
        <w:rPr>
          <w:b/>
        </w:rPr>
      </w:pPr>
      <w:r w:rsidRPr="00E352EA">
        <w:rPr>
          <w:b/>
        </w:rPr>
        <w:t>DRAFT WHITE PAPER No. 1</w:t>
      </w:r>
    </w:p>
    <w:p w14:paraId="537D9184" w14:textId="77777777" w:rsidR="00B62438" w:rsidRDefault="00B62438" w:rsidP="003F2646">
      <w:pPr>
        <w:spacing w:after="0" w:line="240" w:lineRule="auto"/>
      </w:pPr>
    </w:p>
    <w:p w14:paraId="79AB9E78" w14:textId="77777777" w:rsidR="00224E96" w:rsidRDefault="00224E96" w:rsidP="003F2646">
      <w:pPr>
        <w:spacing w:after="0" w:line="240" w:lineRule="auto"/>
      </w:pPr>
    </w:p>
    <w:p w14:paraId="1903E206" w14:textId="314C667A" w:rsidR="003F2646" w:rsidRPr="003F2646" w:rsidRDefault="006C134D" w:rsidP="006C134D">
      <w:pPr>
        <w:spacing w:after="0" w:line="240" w:lineRule="auto"/>
        <w:ind w:left="1440" w:hanging="1440"/>
        <w:rPr>
          <w:rFonts w:ascii="Calibri" w:eastAsia="Calibri" w:hAnsi="Calibri" w:cs="Times New Roman"/>
          <w:bCs/>
          <w:sz w:val="24"/>
        </w:rPr>
      </w:pPr>
      <w:r w:rsidRPr="006C134D">
        <w:rPr>
          <w:rFonts w:ascii="Calibri" w:eastAsia="Calibri" w:hAnsi="Calibri" w:cs="Times New Roman"/>
          <w:b/>
          <w:bCs/>
          <w:sz w:val="24"/>
        </w:rPr>
        <w:t>TO:</w:t>
      </w:r>
      <w:r>
        <w:rPr>
          <w:rFonts w:ascii="Calibri" w:eastAsia="Calibri" w:hAnsi="Calibri" w:cs="Times New Roman"/>
          <w:bCs/>
          <w:sz w:val="24"/>
        </w:rPr>
        <w:tab/>
      </w:r>
      <w:r w:rsidR="003F2646" w:rsidRPr="003F2646">
        <w:rPr>
          <w:rFonts w:ascii="Calibri" w:eastAsia="Calibri" w:hAnsi="Calibri" w:cs="Times New Roman"/>
          <w:bCs/>
          <w:sz w:val="24"/>
          <w:lang w:val="en-CA"/>
        </w:rPr>
        <w:fldChar w:fldCharType="begin"/>
      </w:r>
      <w:r w:rsidR="003F2646" w:rsidRPr="003F2646">
        <w:rPr>
          <w:rFonts w:ascii="Calibri" w:eastAsia="Calibri" w:hAnsi="Calibri" w:cs="Times New Roman"/>
          <w:bCs/>
          <w:sz w:val="24"/>
          <w:lang w:val="en-CA"/>
        </w:rPr>
        <w:instrText xml:space="preserve"> SEQ CHAPTER \h \r 1</w:instrText>
      </w:r>
      <w:r w:rsidR="003F2646" w:rsidRPr="003F2646">
        <w:rPr>
          <w:rFonts w:ascii="Calibri" w:eastAsia="Calibri" w:hAnsi="Calibri" w:cs="Times New Roman"/>
          <w:bCs/>
          <w:sz w:val="24"/>
        </w:rPr>
        <w:fldChar w:fldCharType="end"/>
      </w:r>
      <w:r w:rsidRPr="006C134D">
        <w:rPr>
          <w:rFonts w:ascii="Calibri" w:eastAsia="Calibri" w:hAnsi="Calibri" w:cs="Times New Roman"/>
          <w:bCs/>
          <w:sz w:val="24"/>
          <w:lang w:val="en-CA"/>
        </w:rPr>
        <w:t xml:space="preserve">EPA Regional and </w:t>
      </w:r>
      <w:r>
        <w:rPr>
          <w:rFonts w:ascii="Calibri" w:eastAsia="Calibri" w:hAnsi="Calibri" w:cs="Times New Roman"/>
          <w:bCs/>
          <w:sz w:val="24"/>
          <w:lang w:val="en-CA"/>
        </w:rPr>
        <w:t>Authorized S</w:t>
      </w:r>
      <w:r w:rsidRPr="006C134D">
        <w:rPr>
          <w:rFonts w:ascii="Calibri" w:eastAsia="Calibri" w:hAnsi="Calibri" w:cs="Times New Roman"/>
          <w:bCs/>
          <w:sz w:val="24"/>
          <w:lang w:val="en-CA"/>
        </w:rPr>
        <w:t>tate NPDES Permit and Enforcement Coordinators</w:t>
      </w:r>
      <w:r>
        <w:rPr>
          <w:rFonts w:ascii="Calibri" w:eastAsia="Calibri" w:hAnsi="Calibri" w:cs="Times New Roman"/>
          <w:bCs/>
          <w:sz w:val="24"/>
        </w:rPr>
        <w:t xml:space="preserve"> and </w:t>
      </w:r>
      <w:r w:rsidR="00E81542">
        <w:rPr>
          <w:rFonts w:ascii="Calibri" w:eastAsia="Calibri" w:hAnsi="Calibri" w:cs="Times New Roman"/>
          <w:bCs/>
          <w:sz w:val="24"/>
        </w:rPr>
        <w:t xml:space="preserve">State </w:t>
      </w:r>
      <w:r>
        <w:rPr>
          <w:rFonts w:ascii="Calibri" w:eastAsia="Calibri" w:hAnsi="Calibri" w:cs="Times New Roman"/>
          <w:bCs/>
          <w:sz w:val="24"/>
        </w:rPr>
        <w:t>Information Technology Staff</w:t>
      </w:r>
    </w:p>
    <w:p w14:paraId="4502BEF8" w14:textId="77777777" w:rsidR="003F2646" w:rsidRPr="003F2646" w:rsidRDefault="003F2646" w:rsidP="003F2646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170609E2" w14:textId="0074FC3E" w:rsidR="006C134D" w:rsidRDefault="003F2646" w:rsidP="006C134D">
      <w:pPr>
        <w:spacing w:after="0" w:line="240" w:lineRule="auto"/>
        <w:rPr>
          <w:rFonts w:ascii="Calibri" w:eastAsia="Calibri" w:hAnsi="Calibri" w:cs="Times New Roman"/>
          <w:bCs/>
          <w:sz w:val="24"/>
        </w:rPr>
      </w:pPr>
      <w:r w:rsidRPr="003F2646">
        <w:rPr>
          <w:rFonts w:ascii="Calibri" w:eastAsia="Calibri" w:hAnsi="Calibri" w:cs="Times New Roman"/>
          <w:b/>
          <w:bCs/>
          <w:sz w:val="24"/>
        </w:rPr>
        <w:t>FROM:</w:t>
      </w:r>
      <w:r w:rsidRPr="003F2646">
        <w:rPr>
          <w:rFonts w:ascii="Calibri" w:eastAsia="Calibri" w:hAnsi="Calibri" w:cs="Times New Roman"/>
          <w:bCs/>
          <w:sz w:val="24"/>
        </w:rPr>
        <w:tab/>
      </w:r>
      <w:r w:rsidRPr="003F2646">
        <w:rPr>
          <w:rFonts w:ascii="Calibri" w:eastAsia="Calibri" w:hAnsi="Calibri" w:cs="Times New Roman"/>
          <w:bCs/>
          <w:sz w:val="24"/>
        </w:rPr>
        <w:tab/>
      </w:r>
      <w:r w:rsidRPr="003F2646">
        <w:rPr>
          <w:rFonts w:ascii="Calibri" w:eastAsia="Calibri" w:hAnsi="Calibri" w:cs="Times New Roman"/>
          <w:bCs/>
          <w:sz w:val="24"/>
          <w:lang w:val="en-CA"/>
        </w:rPr>
        <w:fldChar w:fldCharType="begin"/>
      </w:r>
      <w:r w:rsidRPr="003F2646">
        <w:rPr>
          <w:rFonts w:ascii="Calibri" w:eastAsia="Calibri" w:hAnsi="Calibri" w:cs="Times New Roman"/>
          <w:bCs/>
          <w:sz w:val="24"/>
          <w:lang w:val="en-CA"/>
        </w:rPr>
        <w:instrText xml:space="preserve"> SEQ CHAPTER \h \r 1</w:instrText>
      </w:r>
      <w:r w:rsidRPr="003F2646">
        <w:rPr>
          <w:rFonts w:ascii="Calibri" w:eastAsia="Calibri" w:hAnsi="Calibri" w:cs="Times New Roman"/>
          <w:bCs/>
          <w:sz w:val="24"/>
        </w:rPr>
        <w:fldChar w:fldCharType="end"/>
      </w:r>
      <w:r w:rsidR="006C134D" w:rsidRPr="006C134D">
        <w:rPr>
          <w:rFonts w:ascii="Calibri" w:eastAsia="Calibri" w:hAnsi="Calibri" w:cs="Times New Roman"/>
          <w:bCs/>
          <w:sz w:val="24"/>
          <w:lang w:val="en-CA"/>
        </w:rPr>
        <w:t>John Dombrowski, P.E.</w:t>
      </w:r>
      <w:r w:rsidR="006C134D">
        <w:rPr>
          <w:rFonts w:ascii="Calibri" w:eastAsia="Calibri" w:hAnsi="Calibri" w:cs="Times New Roman"/>
          <w:bCs/>
          <w:sz w:val="24"/>
        </w:rPr>
        <w:t>, Director</w:t>
      </w:r>
    </w:p>
    <w:p w14:paraId="53969FA7" w14:textId="617AF9C0" w:rsidR="006C134D" w:rsidRDefault="006C134D" w:rsidP="006C134D">
      <w:pPr>
        <w:spacing w:after="0" w:line="240" w:lineRule="auto"/>
        <w:ind w:left="720" w:firstLine="720"/>
        <w:rPr>
          <w:rFonts w:ascii="Calibri" w:eastAsia="Calibri" w:hAnsi="Calibri" w:cs="Times New Roman"/>
          <w:bCs/>
          <w:sz w:val="24"/>
        </w:rPr>
      </w:pPr>
      <w:r w:rsidRPr="006C134D">
        <w:rPr>
          <w:rFonts w:ascii="Calibri" w:eastAsia="Calibri" w:hAnsi="Calibri" w:cs="Times New Roman"/>
          <w:bCs/>
          <w:sz w:val="24"/>
        </w:rPr>
        <w:t>Enforcement Targeting and Data Division</w:t>
      </w:r>
      <w:r w:rsidR="00E81542">
        <w:rPr>
          <w:rFonts w:ascii="Calibri" w:eastAsia="Calibri" w:hAnsi="Calibri" w:cs="Times New Roman"/>
          <w:bCs/>
          <w:sz w:val="24"/>
        </w:rPr>
        <w:t xml:space="preserve"> (ETDD)</w:t>
      </w:r>
    </w:p>
    <w:p w14:paraId="5A1E8FAE" w14:textId="45CC1809" w:rsidR="00E81542" w:rsidRPr="006C134D" w:rsidRDefault="00E81542" w:rsidP="006C134D">
      <w:pPr>
        <w:spacing w:after="0" w:line="240" w:lineRule="auto"/>
        <w:ind w:left="720" w:firstLine="720"/>
        <w:rPr>
          <w:rFonts w:ascii="Calibri" w:eastAsia="Calibri" w:hAnsi="Calibri" w:cs="Times New Roman"/>
          <w:bCs/>
          <w:sz w:val="24"/>
        </w:rPr>
      </w:pPr>
      <w:r>
        <w:rPr>
          <w:rFonts w:ascii="Calibri" w:eastAsia="Calibri" w:hAnsi="Calibri" w:cs="Times New Roman"/>
          <w:bCs/>
          <w:sz w:val="24"/>
        </w:rPr>
        <w:t>Office of Compliance</w:t>
      </w:r>
    </w:p>
    <w:p w14:paraId="5477BD95" w14:textId="5DAF7513" w:rsidR="006C134D" w:rsidRPr="006C134D" w:rsidRDefault="006C134D" w:rsidP="006C134D">
      <w:pPr>
        <w:spacing w:after="0" w:line="240" w:lineRule="auto"/>
        <w:ind w:left="720" w:firstLine="720"/>
        <w:rPr>
          <w:rFonts w:ascii="Calibri" w:eastAsia="Calibri" w:hAnsi="Calibri" w:cs="Times New Roman"/>
          <w:bCs/>
          <w:sz w:val="24"/>
        </w:rPr>
      </w:pPr>
      <w:r w:rsidRPr="006C134D">
        <w:rPr>
          <w:rFonts w:ascii="Calibri" w:eastAsia="Calibri" w:hAnsi="Calibri" w:cs="Times New Roman"/>
          <w:bCs/>
          <w:sz w:val="24"/>
        </w:rPr>
        <w:t>US EPA/OECA</w:t>
      </w:r>
    </w:p>
    <w:p w14:paraId="285C8ABE" w14:textId="77777777" w:rsidR="006C134D" w:rsidRDefault="006C134D" w:rsidP="003F2646">
      <w:pPr>
        <w:spacing w:after="0" w:line="240" w:lineRule="auto"/>
        <w:rPr>
          <w:rFonts w:ascii="Calibri" w:eastAsia="Calibri" w:hAnsi="Calibri" w:cs="Times New Roman"/>
          <w:bCs/>
          <w:sz w:val="24"/>
        </w:rPr>
      </w:pPr>
    </w:p>
    <w:p w14:paraId="6A946B0C" w14:textId="68558882" w:rsidR="003F2646" w:rsidRPr="003F2646" w:rsidRDefault="003F2646" w:rsidP="003F2646">
      <w:pPr>
        <w:spacing w:after="0" w:line="240" w:lineRule="auto"/>
        <w:rPr>
          <w:rFonts w:ascii="Calibri" w:eastAsia="Calibri" w:hAnsi="Calibri" w:cs="Times New Roman"/>
          <w:bCs/>
          <w:sz w:val="24"/>
        </w:rPr>
      </w:pPr>
      <w:r w:rsidRPr="003F2646">
        <w:rPr>
          <w:rFonts w:ascii="Calibri" w:eastAsia="Calibri" w:hAnsi="Calibri" w:cs="Times New Roman"/>
          <w:b/>
          <w:bCs/>
          <w:sz w:val="24"/>
        </w:rPr>
        <w:t>DATE:</w:t>
      </w:r>
      <w:r w:rsidRPr="003F2646">
        <w:rPr>
          <w:rFonts w:ascii="Calibri" w:eastAsia="Calibri" w:hAnsi="Calibri" w:cs="Times New Roman"/>
          <w:bCs/>
          <w:sz w:val="24"/>
        </w:rPr>
        <w:tab/>
      </w:r>
      <w:r w:rsidRPr="003F2646">
        <w:rPr>
          <w:rFonts w:ascii="Calibri" w:eastAsia="Calibri" w:hAnsi="Calibri" w:cs="Times New Roman"/>
          <w:bCs/>
          <w:sz w:val="24"/>
        </w:rPr>
        <w:tab/>
      </w:r>
      <w:r w:rsidR="006C134D">
        <w:rPr>
          <w:rFonts w:ascii="Calibri" w:eastAsia="Calibri" w:hAnsi="Calibri" w:cs="Times New Roman"/>
          <w:bCs/>
          <w:sz w:val="24"/>
        </w:rPr>
        <w:t>2</w:t>
      </w:r>
      <w:r w:rsidR="00D30776">
        <w:rPr>
          <w:rFonts w:ascii="Calibri" w:eastAsia="Calibri" w:hAnsi="Calibri" w:cs="Times New Roman"/>
          <w:bCs/>
          <w:sz w:val="24"/>
        </w:rPr>
        <w:t xml:space="preserve"> November </w:t>
      </w:r>
      <w:r w:rsidR="006C134D">
        <w:rPr>
          <w:rFonts w:ascii="Calibri" w:eastAsia="Calibri" w:hAnsi="Calibri" w:cs="Times New Roman"/>
          <w:bCs/>
          <w:sz w:val="24"/>
        </w:rPr>
        <w:t>2016</w:t>
      </w:r>
    </w:p>
    <w:p w14:paraId="5ADBA172" w14:textId="77777777" w:rsidR="003F2646" w:rsidRPr="003F2646" w:rsidRDefault="003F2646" w:rsidP="003F2646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0345B9B3" w14:textId="5AD5957A" w:rsidR="003F2646" w:rsidRDefault="003F2646" w:rsidP="006C134D">
      <w:pPr>
        <w:pBdr>
          <w:bottom w:val="single" w:sz="4" w:space="1" w:color="auto"/>
        </w:pBdr>
        <w:spacing w:after="0" w:line="240" w:lineRule="auto"/>
        <w:ind w:left="1440" w:hanging="1440"/>
        <w:rPr>
          <w:rFonts w:ascii="Calibri" w:eastAsia="Calibri" w:hAnsi="Calibri" w:cs="Times New Roman"/>
          <w:sz w:val="24"/>
        </w:rPr>
      </w:pPr>
      <w:r w:rsidRPr="003F2646">
        <w:rPr>
          <w:rFonts w:ascii="Calibri" w:eastAsia="Calibri" w:hAnsi="Calibri" w:cs="Times New Roman"/>
          <w:b/>
          <w:bCs/>
          <w:sz w:val="24"/>
        </w:rPr>
        <w:t>SUBJECT:</w:t>
      </w:r>
      <w:r w:rsidRPr="003F2646">
        <w:rPr>
          <w:rFonts w:ascii="Calibri" w:eastAsia="Calibri" w:hAnsi="Calibri" w:cs="Times New Roman"/>
          <w:sz w:val="24"/>
        </w:rPr>
        <w:tab/>
      </w:r>
      <w:r w:rsidR="00C41231">
        <w:rPr>
          <w:rFonts w:ascii="Calibri" w:eastAsia="Calibri" w:hAnsi="Calibri" w:cs="Times New Roman"/>
          <w:sz w:val="24"/>
        </w:rPr>
        <w:t xml:space="preserve">Draft </w:t>
      </w:r>
      <w:r w:rsidR="006C134D">
        <w:rPr>
          <w:rFonts w:ascii="Calibri" w:eastAsia="Calibri" w:hAnsi="Calibri" w:cs="Times New Roman"/>
          <w:sz w:val="24"/>
        </w:rPr>
        <w:t>White Paper</w:t>
      </w:r>
      <w:r w:rsidR="00D30776">
        <w:rPr>
          <w:rFonts w:ascii="Calibri" w:eastAsia="Calibri" w:hAnsi="Calibri" w:cs="Times New Roman"/>
          <w:sz w:val="24"/>
        </w:rPr>
        <w:t xml:space="preserve"> No. 1</w:t>
      </w:r>
      <w:r w:rsidR="006C134D">
        <w:rPr>
          <w:rFonts w:ascii="Calibri" w:eastAsia="Calibri" w:hAnsi="Calibri" w:cs="Times New Roman"/>
          <w:sz w:val="24"/>
        </w:rPr>
        <w:t xml:space="preserve">: </w:t>
      </w:r>
      <w:r w:rsidR="006C134D" w:rsidRPr="006C134D">
        <w:rPr>
          <w:rFonts w:ascii="Calibri" w:eastAsia="Calibri" w:hAnsi="Calibri" w:cs="Times New Roman"/>
          <w:sz w:val="24"/>
        </w:rPr>
        <w:t>Public Access to Non-major DMR Data and Compliance Status</w:t>
      </w:r>
    </w:p>
    <w:p w14:paraId="59CAE675" w14:textId="77777777" w:rsidR="006C134D" w:rsidRPr="003F2646" w:rsidRDefault="006C134D" w:rsidP="006C134D">
      <w:pPr>
        <w:pBdr>
          <w:bottom w:val="single" w:sz="4" w:space="1" w:color="auto"/>
        </w:pBdr>
        <w:spacing w:after="0" w:line="240" w:lineRule="auto"/>
        <w:ind w:left="1440" w:hanging="1440"/>
        <w:rPr>
          <w:rFonts w:ascii="Calibri" w:eastAsia="Calibri" w:hAnsi="Calibri" w:cs="Times New Roman"/>
          <w:sz w:val="24"/>
        </w:rPr>
      </w:pPr>
    </w:p>
    <w:p w14:paraId="24F1CA0B" w14:textId="77777777" w:rsidR="003F2646" w:rsidRPr="003F2646" w:rsidRDefault="003F2646" w:rsidP="0009104C">
      <w:pPr>
        <w:spacing w:after="0" w:line="240" w:lineRule="auto"/>
        <w:rPr>
          <w:rFonts w:ascii="Calibri" w:eastAsia="Calibri" w:hAnsi="Calibri" w:cs="Times New Roman"/>
          <w:sz w:val="24"/>
        </w:rPr>
      </w:pPr>
    </w:p>
    <w:p w14:paraId="6AE0BC72" w14:textId="77777777" w:rsidR="003F2646" w:rsidRPr="003F2646" w:rsidRDefault="003F2646" w:rsidP="0009104C">
      <w:pPr>
        <w:spacing w:after="0" w:line="240" w:lineRule="auto"/>
        <w:rPr>
          <w:rFonts w:ascii="Calibri" w:eastAsia="Calibri" w:hAnsi="Calibri" w:cs="Times New Roman"/>
          <w:b/>
          <w:sz w:val="24"/>
          <w:lang w:val="en-CA"/>
        </w:rPr>
      </w:pPr>
      <w:r w:rsidRPr="003F2646">
        <w:rPr>
          <w:rFonts w:ascii="Calibri" w:eastAsia="Calibri" w:hAnsi="Calibri" w:cs="Times New Roman"/>
          <w:b/>
          <w:sz w:val="24"/>
          <w:lang w:val="en-CA"/>
        </w:rPr>
        <w:t xml:space="preserve">Overview </w:t>
      </w:r>
    </w:p>
    <w:p w14:paraId="492EBD53" w14:textId="77777777" w:rsidR="0009104C" w:rsidRDefault="0009104C" w:rsidP="0009104C">
      <w:pPr>
        <w:spacing w:after="0" w:line="240" w:lineRule="auto"/>
        <w:ind w:firstLine="720"/>
      </w:pPr>
    </w:p>
    <w:p w14:paraId="06A2EFB4" w14:textId="047E524C" w:rsidR="00C41231" w:rsidRDefault="00C41231" w:rsidP="0009104C">
      <w:pPr>
        <w:spacing w:after="0" w:line="240" w:lineRule="auto"/>
      </w:pPr>
      <w:r>
        <w:t>This draft white paper supports implementation of the NPDES Electro</w:t>
      </w:r>
      <w:r w:rsidR="00D20A43">
        <w:t xml:space="preserve">nic Reporting Rule (40 CFR 127) </w:t>
      </w:r>
      <w:r>
        <w:t>and Next Generation Compliance. Benefits of this proposal include:</w:t>
      </w:r>
    </w:p>
    <w:p w14:paraId="25434B83" w14:textId="77777777" w:rsidR="0009104C" w:rsidRDefault="0009104C" w:rsidP="0009104C">
      <w:pPr>
        <w:spacing w:after="0" w:line="240" w:lineRule="auto"/>
        <w:ind w:firstLine="720"/>
      </w:pPr>
    </w:p>
    <w:p w14:paraId="065546B8" w14:textId="77777777" w:rsidR="00B62438" w:rsidRDefault="00C41231" w:rsidP="00B62438">
      <w:pPr>
        <w:pStyle w:val="ListParagraph"/>
        <w:numPr>
          <w:ilvl w:val="1"/>
          <w:numId w:val="9"/>
        </w:numPr>
        <w:spacing w:after="0" w:line="240" w:lineRule="auto"/>
        <w:ind w:left="720"/>
        <w:contextualSpacing w:val="0"/>
      </w:pPr>
      <w:r>
        <w:t xml:space="preserve">Simplifying data management tasks for EPA Regions and </w:t>
      </w:r>
      <w:r w:rsidR="00B62438">
        <w:t>authorized NPDES programs</w:t>
      </w:r>
      <w:r>
        <w:t xml:space="preserve"> for non-majors filing Discharge Monitoring Report (DMR) data; and</w:t>
      </w:r>
    </w:p>
    <w:p w14:paraId="36D4AA8C" w14:textId="7D27E0EF" w:rsidR="00C41231" w:rsidRDefault="00E81542" w:rsidP="00B62438">
      <w:pPr>
        <w:pStyle w:val="ListParagraph"/>
        <w:numPr>
          <w:ilvl w:val="1"/>
          <w:numId w:val="9"/>
        </w:numPr>
        <w:spacing w:after="0" w:line="240" w:lineRule="auto"/>
        <w:ind w:left="720"/>
        <w:contextualSpacing w:val="0"/>
      </w:pPr>
      <w:r>
        <w:t xml:space="preserve">Gradually increasing </w:t>
      </w:r>
      <w:r w:rsidR="00C41231">
        <w:t xml:space="preserve">the visibility of DMR reporting non-receipt violations and </w:t>
      </w:r>
      <w:r w:rsidR="00D20A43">
        <w:t xml:space="preserve">permit </w:t>
      </w:r>
      <w:r w:rsidR="00C41231">
        <w:t xml:space="preserve">compliance status for non-majors in a stepwise manner, </w:t>
      </w:r>
      <w:r>
        <w:t>so as to</w:t>
      </w:r>
      <w:r w:rsidR="00B62438">
        <w:t xml:space="preserve"> allow </w:t>
      </w:r>
      <w:r w:rsidR="00B62438" w:rsidRPr="00B62438">
        <w:t>authorized NPDES programs</w:t>
      </w:r>
      <w:r w:rsidR="00C41231">
        <w:t xml:space="preserve"> to review their data prior to public release. </w:t>
      </w:r>
    </w:p>
    <w:p w14:paraId="21B4981E" w14:textId="77777777" w:rsidR="0009104C" w:rsidRDefault="0009104C" w:rsidP="0009104C">
      <w:pPr>
        <w:spacing w:after="0" w:line="240" w:lineRule="auto"/>
      </w:pPr>
    </w:p>
    <w:p w14:paraId="63741C15" w14:textId="652A5F84" w:rsidR="00B62438" w:rsidRDefault="00C41231" w:rsidP="0009104C">
      <w:pPr>
        <w:spacing w:after="0" w:line="240" w:lineRule="auto"/>
      </w:pPr>
      <w:r>
        <w:t xml:space="preserve">In particular, this </w:t>
      </w:r>
      <w:r w:rsidR="00CC7755">
        <w:t xml:space="preserve">draft </w:t>
      </w:r>
      <w:r>
        <w:t xml:space="preserve">white paper describes how EPA’s NPDES data system (ICIS-NPDES) will handle DMR non-receipt violations for non-majors so that </w:t>
      </w:r>
      <w:r w:rsidR="00B62438" w:rsidRPr="00B62438">
        <w:t xml:space="preserve">authorized NPDES programs </w:t>
      </w:r>
      <w:r>
        <w:t>will not need to spend much time addressing erroneous DMR non-receipt violations in ICIS-NPDES. The approach outlined in this white paper provide</w:t>
      </w:r>
      <w:r w:rsidR="00CC7755">
        <w:t>s</w:t>
      </w:r>
      <w:r>
        <w:t xml:space="preserve"> </w:t>
      </w:r>
      <w:r w:rsidR="00B62438" w:rsidRPr="00B62438">
        <w:t xml:space="preserve">authorized NPDES programs </w:t>
      </w:r>
      <w:r>
        <w:t>wi</w:t>
      </w:r>
      <w:r w:rsidR="00CC7755">
        <w:t xml:space="preserve">th </w:t>
      </w:r>
      <w:r w:rsidR="00E81542">
        <w:t xml:space="preserve">sufficient </w:t>
      </w:r>
      <w:r>
        <w:t xml:space="preserve">time </w:t>
      </w:r>
      <w:r w:rsidR="00CC7755">
        <w:t xml:space="preserve">to share </w:t>
      </w:r>
      <w:r>
        <w:t xml:space="preserve">facility and permit data with ICIS-NPDES and </w:t>
      </w:r>
      <w:r w:rsidR="00CC7755">
        <w:t xml:space="preserve">to </w:t>
      </w:r>
      <w:r>
        <w:t>conduct</w:t>
      </w:r>
      <w:r w:rsidR="00CC7755">
        <w:t xml:space="preserve"> </w:t>
      </w:r>
      <w:r>
        <w:t xml:space="preserve">outreach, training, and registration for NetDMR and </w:t>
      </w:r>
      <w:r w:rsidR="00F721C7">
        <w:t>other</w:t>
      </w:r>
      <w:r>
        <w:t xml:space="preserve"> electronic reporting tools. </w:t>
      </w:r>
    </w:p>
    <w:p w14:paraId="05FCC579" w14:textId="77777777" w:rsidR="00B62438" w:rsidRDefault="00B62438">
      <w:r>
        <w:br w:type="page"/>
      </w:r>
    </w:p>
    <w:p w14:paraId="4A222D91" w14:textId="259F2BEA" w:rsidR="00F721C7" w:rsidRPr="00E352EA" w:rsidRDefault="00F721C7" w:rsidP="00E352E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E352EA">
        <w:rPr>
          <w:rFonts w:ascii="Calibri" w:eastAsia="Calibri" w:hAnsi="Calibri" w:cs="Times New Roman"/>
          <w:b/>
          <w:sz w:val="24"/>
        </w:rPr>
        <w:lastRenderedPageBreak/>
        <w:t>Draft White Paper</w:t>
      </w:r>
      <w:r w:rsidR="00E352EA">
        <w:rPr>
          <w:rFonts w:ascii="Calibri" w:eastAsia="Calibri" w:hAnsi="Calibri" w:cs="Times New Roman"/>
          <w:b/>
          <w:sz w:val="24"/>
        </w:rPr>
        <w:t xml:space="preserve"> No. 1</w:t>
      </w:r>
    </w:p>
    <w:p w14:paraId="7A5BA268" w14:textId="1E5FF3FA" w:rsidR="00F721C7" w:rsidRPr="00E352EA" w:rsidRDefault="00F721C7" w:rsidP="00E352EA">
      <w:pPr>
        <w:spacing w:after="0" w:line="240" w:lineRule="auto"/>
        <w:jc w:val="center"/>
        <w:rPr>
          <w:b/>
        </w:rPr>
      </w:pPr>
      <w:r w:rsidRPr="00E352EA">
        <w:rPr>
          <w:rFonts w:ascii="Calibri" w:eastAsia="Calibri" w:hAnsi="Calibri" w:cs="Times New Roman"/>
          <w:b/>
          <w:sz w:val="24"/>
        </w:rPr>
        <w:t>Public Access to Non-major DMR Data and Compliance Status</w:t>
      </w:r>
    </w:p>
    <w:p w14:paraId="4A3EBCB5" w14:textId="77777777" w:rsidR="00F721C7" w:rsidRDefault="00F721C7" w:rsidP="0009104C">
      <w:pPr>
        <w:spacing w:after="0" w:line="240" w:lineRule="auto"/>
      </w:pPr>
    </w:p>
    <w:p w14:paraId="305DDB2F" w14:textId="7DED1AEB" w:rsidR="00C41231" w:rsidRDefault="00C41231" w:rsidP="0009104C">
      <w:pPr>
        <w:spacing w:after="0" w:line="240" w:lineRule="auto"/>
      </w:pPr>
      <w:r>
        <w:t xml:space="preserve">EPA </w:t>
      </w:r>
      <w:r w:rsidR="00B62438">
        <w:t xml:space="preserve">is soliciting comment on the following approach for </w:t>
      </w:r>
      <w:r>
        <w:t>manag</w:t>
      </w:r>
      <w:r w:rsidR="00B62438">
        <w:t>ing</w:t>
      </w:r>
      <w:r>
        <w:t xml:space="preserve"> DMR non-receipt and quarterly </w:t>
      </w:r>
      <w:r w:rsidR="00D20A43">
        <w:t xml:space="preserve">permit </w:t>
      </w:r>
      <w:r>
        <w:t>compliance status for non-majors.</w:t>
      </w:r>
      <w:r w:rsidR="00B62438" w:rsidRPr="00B62438">
        <w:t xml:space="preserve"> This </w:t>
      </w:r>
      <w:r w:rsidR="00B62438">
        <w:t xml:space="preserve">proposed schedule </w:t>
      </w:r>
      <w:r w:rsidR="00B62438" w:rsidRPr="00B62438">
        <w:t xml:space="preserve">gives authorized NPDES programs </w:t>
      </w:r>
      <w:r w:rsidR="002031CB">
        <w:t>several</w:t>
      </w:r>
      <w:r w:rsidR="00B62438" w:rsidRPr="00B62438">
        <w:t xml:space="preserve"> months to review their data </w:t>
      </w:r>
      <w:r w:rsidR="00B62438">
        <w:t xml:space="preserve">prior to public release </w:t>
      </w:r>
      <w:r w:rsidR="00B62438" w:rsidRPr="00B62438">
        <w:t>and make any necessary changes.</w:t>
      </w:r>
    </w:p>
    <w:p w14:paraId="283C71DE" w14:textId="77777777" w:rsidR="0009104C" w:rsidRDefault="0009104C" w:rsidP="0009104C">
      <w:pPr>
        <w:spacing w:after="0" w:line="240" w:lineRule="auto"/>
      </w:pPr>
    </w:p>
    <w:p w14:paraId="11C1E881" w14:textId="52388BF3" w:rsidR="00C41231" w:rsidRDefault="0009104C" w:rsidP="00CC7755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>
        <w:t xml:space="preserve">On </w:t>
      </w:r>
      <w:r w:rsidRPr="0097786A">
        <w:rPr>
          <w:u w:val="single"/>
        </w:rPr>
        <w:t>1 January 2017</w:t>
      </w:r>
      <w:r>
        <w:t xml:space="preserve">, ECHO Gov (but not ECHO) will start showing all </w:t>
      </w:r>
      <w:r w:rsidRPr="00DC4999">
        <w:t xml:space="preserve">DMR non-receipt violations </w:t>
      </w:r>
      <w:r>
        <w:t xml:space="preserve">(for all DMR filers) </w:t>
      </w:r>
      <w:r w:rsidRPr="00B01C86">
        <w:t xml:space="preserve">that occur on or after </w:t>
      </w:r>
      <w:r w:rsidRPr="00B01C86">
        <w:rPr>
          <w:u w:val="single"/>
        </w:rPr>
        <w:t>1 J</w:t>
      </w:r>
      <w:r>
        <w:rPr>
          <w:u w:val="single"/>
        </w:rPr>
        <w:t xml:space="preserve">anuary </w:t>
      </w:r>
      <w:r w:rsidRPr="00B01C86">
        <w:rPr>
          <w:u w:val="single"/>
        </w:rPr>
        <w:t>201</w:t>
      </w:r>
      <w:r>
        <w:rPr>
          <w:u w:val="single"/>
        </w:rPr>
        <w:t>7.</w:t>
      </w:r>
      <w:r>
        <w:t xml:space="preserve"> </w:t>
      </w:r>
      <w:r w:rsidR="00F721C7">
        <w:t xml:space="preserve"> </w:t>
      </w:r>
      <w:r w:rsidR="009D3C51">
        <w:t xml:space="preserve"> ECHO Gov is </w:t>
      </w:r>
      <w:r w:rsidR="00B62438">
        <w:t xml:space="preserve">only available to EPA and states (not the public). </w:t>
      </w:r>
      <w:r>
        <w:t xml:space="preserve">ECHO Gov will also be updated to show </w:t>
      </w:r>
      <w:r w:rsidRPr="007A30AB">
        <w:t xml:space="preserve">the </w:t>
      </w:r>
      <w:r w:rsidR="00D30776">
        <w:t xml:space="preserve">permit </w:t>
      </w:r>
      <w:r w:rsidRPr="00D457DB">
        <w:t xml:space="preserve">compliance status </w:t>
      </w:r>
      <w:r w:rsidR="002031CB">
        <w:t>[</w:t>
      </w:r>
      <w:r>
        <w:t xml:space="preserve">based on the </w:t>
      </w:r>
      <w:r w:rsidR="00B612A0">
        <w:t xml:space="preserve">Reportable </w:t>
      </w:r>
      <w:r w:rsidR="00F721C7">
        <w:t>Non-Compliance (</w:t>
      </w:r>
      <w:r w:rsidR="00B612A0">
        <w:t>RNC</w:t>
      </w:r>
      <w:r w:rsidR="00F721C7">
        <w:t>)</w:t>
      </w:r>
      <w:r>
        <w:t xml:space="preserve"> Status code</w:t>
      </w:r>
      <w:r w:rsidR="002031CB">
        <w:t>]</w:t>
      </w:r>
      <w:r>
        <w:t xml:space="preserve"> </w:t>
      </w:r>
      <w:r w:rsidRPr="007A30AB">
        <w:t xml:space="preserve">for </w:t>
      </w:r>
      <w:r>
        <w:t xml:space="preserve">all facilities </w:t>
      </w:r>
      <w:r w:rsidRPr="007A30AB">
        <w:t xml:space="preserve">for the </w:t>
      </w:r>
      <w:r>
        <w:t>FY Q</w:t>
      </w:r>
      <w:r w:rsidRPr="007A30AB">
        <w:t xml:space="preserve">uarter starting on </w:t>
      </w:r>
      <w:r w:rsidRPr="00B01C86">
        <w:rPr>
          <w:u w:val="single"/>
        </w:rPr>
        <w:t xml:space="preserve">1 </w:t>
      </w:r>
      <w:r>
        <w:rPr>
          <w:u w:val="single"/>
        </w:rPr>
        <w:t>January 2017</w:t>
      </w:r>
      <w:r w:rsidRPr="007A30AB">
        <w:t xml:space="preserve"> and </w:t>
      </w:r>
      <w:r>
        <w:t xml:space="preserve">following FY Quarters. </w:t>
      </w:r>
      <w:r w:rsidR="00CC7755" w:rsidRPr="00CC7755">
        <w:t xml:space="preserve">The compliance status for the FY Quarter starting on </w:t>
      </w:r>
      <w:r w:rsidR="00CC7755" w:rsidRPr="00CC7755">
        <w:rPr>
          <w:u w:val="single"/>
        </w:rPr>
        <w:t>1 January 2017</w:t>
      </w:r>
      <w:r w:rsidR="00CC7755" w:rsidRPr="00CC7755">
        <w:t xml:space="preserve"> will be available in ECHO Gov </w:t>
      </w:r>
      <w:r w:rsidR="002031CB">
        <w:t xml:space="preserve">approximately </w:t>
      </w:r>
      <w:r w:rsidR="00CC7755" w:rsidRPr="00CC7755">
        <w:t>2 ½ months after th</w:t>
      </w:r>
      <w:r w:rsidR="00CC7755">
        <w:t xml:space="preserve">is </w:t>
      </w:r>
      <w:r w:rsidR="00CC7755" w:rsidRPr="00CC7755">
        <w:t xml:space="preserve">quarter has ended. </w:t>
      </w:r>
      <w:r>
        <w:t xml:space="preserve">This timeline gives states </w:t>
      </w:r>
      <w:r w:rsidR="002031CB">
        <w:t xml:space="preserve">several </w:t>
      </w:r>
      <w:r>
        <w:t>months to</w:t>
      </w:r>
      <w:r w:rsidR="00D20A43">
        <w:t xml:space="preserve"> review their data in ECHO Gov</w:t>
      </w:r>
      <w:r>
        <w:t xml:space="preserve"> and make any necessary changes. This schedule also provides states with time to train and register non-major DMR filers for electronic reporting</w:t>
      </w:r>
      <w:r w:rsidR="00C41231">
        <w:t>.</w:t>
      </w:r>
    </w:p>
    <w:p w14:paraId="67519856" w14:textId="77777777" w:rsidR="00C41231" w:rsidRDefault="00C41231" w:rsidP="0009104C">
      <w:pPr>
        <w:pStyle w:val="ListParagraph"/>
        <w:spacing w:after="0" w:line="240" w:lineRule="auto"/>
        <w:contextualSpacing w:val="0"/>
      </w:pPr>
    </w:p>
    <w:p w14:paraId="553832CC" w14:textId="4F18BBCD" w:rsidR="00C41231" w:rsidRDefault="006F40EA" w:rsidP="002031CB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>
        <w:t xml:space="preserve">On </w:t>
      </w:r>
      <w:r w:rsidRPr="002031CB">
        <w:rPr>
          <w:u w:val="single"/>
        </w:rPr>
        <w:t>1 July 2017</w:t>
      </w:r>
      <w:r>
        <w:t xml:space="preserve">, </w:t>
      </w:r>
      <w:r w:rsidR="0009104C" w:rsidRPr="00B01C86">
        <w:t xml:space="preserve">ECHO </w:t>
      </w:r>
      <w:r w:rsidR="0009104C">
        <w:t xml:space="preserve">and ECHO Gov will be updated so that they start </w:t>
      </w:r>
      <w:r w:rsidR="0009104C" w:rsidRPr="00B01C86">
        <w:t>show</w:t>
      </w:r>
      <w:r w:rsidR="0009104C">
        <w:t>ing</w:t>
      </w:r>
      <w:r w:rsidR="0009104C" w:rsidRPr="00B01C86">
        <w:t xml:space="preserve"> all DMR non-receipt violations </w:t>
      </w:r>
      <w:r w:rsidR="0009104C">
        <w:t xml:space="preserve">(for all DMR filers) </w:t>
      </w:r>
      <w:r w:rsidR="0009104C" w:rsidRPr="00B01C86">
        <w:t xml:space="preserve">that occur on or after </w:t>
      </w:r>
      <w:r w:rsidR="0009104C" w:rsidRPr="00B01C86">
        <w:rPr>
          <w:u w:val="single"/>
        </w:rPr>
        <w:t>1 July 201</w:t>
      </w:r>
      <w:r w:rsidR="0009104C">
        <w:rPr>
          <w:u w:val="single"/>
        </w:rPr>
        <w:t>7</w:t>
      </w:r>
      <w:r w:rsidR="0009104C" w:rsidRPr="00B01C86">
        <w:t xml:space="preserve">. </w:t>
      </w:r>
      <w:r w:rsidR="0009104C" w:rsidRPr="00A4435E">
        <w:t xml:space="preserve">ECHO </w:t>
      </w:r>
      <w:r w:rsidR="0009104C">
        <w:t xml:space="preserve">and ECHO </w:t>
      </w:r>
      <w:r w:rsidR="0009104C" w:rsidRPr="00A4435E">
        <w:t xml:space="preserve">Gov </w:t>
      </w:r>
      <w:r w:rsidR="0009104C">
        <w:t xml:space="preserve">will </w:t>
      </w:r>
      <w:r w:rsidR="0009104C" w:rsidRPr="00A4435E">
        <w:t xml:space="preserve">be changed to show the </w:t>
      </w:r>
      <w:r w:rsidR="002031CB" w:rsidRPr="002031CB">
        <w:t xml:space="preserve">permit </w:t>
      </w:r>
      <w:r w:rsidR="0009104C" w:rsidRPr="00A4435E">
        <w:t xml:space="preserve">compliance status </w:t>
      </w:r>
      <w:r w:rsidR="0009104C" w:rsidRPr="00D457DB">
        <w:t xml:space="preserve">(based on the </w:t>
      </w:r>
      <w:r w:rsidR="00B612A0">
        <w:t>RNC</w:t>
      </w:r>
      <w:r w:rsidR="0009104C" w:rsidRPr="00D457DB">
        <w:t xml:space="preserve"> Status code) </w:t>
      </w:r>
      <w:r w:rsidR="0009104C" w:rsidRPr="00A4435E">
        <w:t xml:space="preserve">for </w:t>
      </w:r>
      <w:r w:rsidR="0009104C">
        <w:t xml:space="preserve">all facilities </w:t>
      </w:r>
      <w:r w:rsidR="0009104C" w:rsidRPr="00A4435E">
        <w:t xml:space="preserve">for the </w:t>
      </w:r>
      <w:r w:rsidR="0009104C">
        <w:t>FY Q</w:t>
      </w:r>
      <w:r w:rsidR="0009104C" w:rsidRPr="00A4435E">
        <w:t xml:space="preserve">uarter starting on </w:t>
      </w:r>
      <w:r w:rsidR="0009104C" w:rsidRPr="00A4435E">
        <w:rPr>
          <w:u w:val="single"/>
        </w:rPr>
        <w:t>1 July 201</w:t>
      </w:r>
      <w:r w:rsidR="0009104C">
        <w:rPr>
          <w:u w:val="single"/>
        </w:rPr>
        <w:t>7</w:t>
      </w:r>
      <w:r w:rsidR="0009104C" w:rsidRPr="00A4435E">
        <w:t xml:space="preserve"> and following </w:t>
      </w:r>
      <w:r w:rsidR="0009104C">
        <w:t>FY Q</w:t>
      </w:r>
      <w:r w:rsidR="0009104C" w:rsidRPr="00A4435E">
        <w:t xml:space="preserve">uarters. </w:t>
      </w:r>
      <w:r w:rsidR="00CC7755" w:rsidRPr="00CC7755">
        <w:t xml:space="preserve">The </w:t>
      </w:r>
      <w:r w:rsidR="002031CB" w:rsidRPr="002031CB">
        <w:t xml:space="preserve">permit </w:t>
      </w:r>
      <w:r w:rsidR="002031CB">
        <w:t>c</w:t>
      </w:r>
      <w:r w:rsidR="00CC7755" w:rsidRPr="00CC7755">
        <w:t xml:space="preserve">ompliance status for the FY Quarter starting on </w:t>
      </w:r>
      <w:r w:rsidR="00CC7755" w:rsidRPr="00CC7755">
        <w:rPr>
          <w:u w:val="single"/>
        </w:rPr>
        <w:t>1 July 2017</w:t>
      </w:r>
      <w:r w:rsidR="00CC7755">
        <w:t xml:space="preserve"> will be available in ECHO and ECHO Gov </w:t>
      </w:r>
      <w:r w:rsidR="002031CB">
        <w:t xml:space="preserve">approximately </w:t>
      </w:r>
      <w:r w:rsidR="00CC7755" w:rsidRPr="00CC7755">
        <w:t xml:space="preserve">2 ½ months after this quarter has ended. </w:t>
      </w:r>
      <w:r w:rsidR="0009104C">
        <w:t xml:space="preserve">ECHO and ECHO Gov will not show </w:t>
      </w:r>
      <w:r w:rsidR="002031CB" w:rsidRPr="00D20A43">
        <w:rPr>
          <w:u w:val="single"/>
        </w:rPr>
        <w:t>any</w:t>
      </w:r>
      <w:r w:rsidR="002031CB">
        <w:t xml:space="preserve"> </w:t>
      </w:r>
      <w:r w:rsidR="0009104C">
        <w:t xml:space="preserve">DMR non-receipt violations for non-major facilities that occur prior to </w:t>
      </w:r>
      <w:r w:rsidR="0009104C">
        <w:rPr>
          <w:u w:val="single"/>
        </w:rPr>
        <w:t>1 July 2017</w:t>
      </w:r>
      <w:r w:rsidR="0009104C">
        <w:t xml:space="preserve">. Additionally, ECHO and ECHO Gov will </w:t>
      </w:r>
      <w:r w:rsidR="0009104C" w:rsidRPr="00B467DA">
        <w:t>show the compliance status as “Unknown” for non-majors that only have these DMR non-receipt violations (and no other CWA violations)</w:t>
      </w:r>
      <w:r w:rsidR="0009104C">
        <w:t xml:space="preserve"> for FY Quarters prior to </w:t>
      </w:r>
      <w:r w:rsidR="0009104C" w:rsidRPr="0097786A">
        <w:rPr>
          <w:u w:val="single"/>
        </w:rPr>
        <w:t xml:space="preserve">1 </w:t>
      </w:r>
      <w:r w:rsidR="0009104C">
        <w:rPr>
          <w:u w:val="single"/>
        </w:rPr>
        <w:t>July 2017</w:t>
      </w:r>
      <w:r w:rsidR="00C41231">
        <w:t>.</w:t>
      </w:r>
    </w:p>
    <w:p w14:paraId="39B36ACD" w14:textId="77777777" w:rsidR="0009104C" w:rsidRDefault="0009104C" w:rsidP="0009104C">
      <w:pPr>
        <w:spacing w:after="0" w:line="240" w:lineRule="auto"/>
      </w:pPr>
    </w:p>
    <w:p w14:paraId="0372E00D" w14:textId="7226F982" w:rsidR="003C5442" w:rsidRDefault="003C5442" w:rsidP="0009104C">
      <w:pPr>
        <w:spacing w:after="0" w:line="240" w:lineRule="auto"/>
      </w:pPr>
      <w:r>
        <w:t xml:space="preserve">Attachment 1 </w:t>
      </w:r>
      <w:r w:rsidR="006F40EA">
        <w:t xml:space="preserve">describes </w:t>
      </w:r>
      <w:r>
        <w:t xml:space="preserve">EPA’s current method for managing </w:t>
      </w:r>
      <w:r w:rsidRPr="003C5442">
        <w:t xml:space="preserve">DMR non-receipt violations </w:t>
      </w:r>
      <w:r>
        <w:t xml:space="preserve">and </w:t>
      </w:r>
      <w:r w:rsidR="002031CB">
        <w:t xml:space="preserve">permit </w:t>
      </w:r>
      <w:r w:rsidRPr="003C5442">
        <w:t>compliance status</w:t>
      </w:r>
      <w:r>
        <w:t xml:space="preserve"> for non-major permittees. Attachment 2 </w:t>
      </w:r>
      <w:r w:rsidR="006F40EA">
        <w:t xml:space="preserve">provides scenarios that portray </w:t>
      </w:r>
      <w:r>
        <w:t>how the approach outlined in this white paper will be implemented in ICIS-NPDES, ECHO Gov, and ECHO.</w:t>
      </w:r>
    </w:p>
    <w:p w14:paraId="690A1149" w14:textId="77777777" w:rsidR="003C5442" w:rsidRDefault="003C5442" w:rsidP="0009104C">
      <w:pPr>
        <w:spacing w:after="0" w:line="240" w:lineRule="auto"/>
      </w:pPr>
    </w:p>
    <w:p w14:paraId="33151403" w14:textId="2C36D6B0" w:rsidR="0009104C" w:rsidRDefault="00F3701E" w:rsidP="0009104C">
      <w:pPr>
        <w:spacing w:after="0" w:line="240" w:lineRule="auto"/>
      </w:pPr>
      <w:r w:rsidRPr="00F3701E">
        <w:rPr>
          <w:b/>
          <w:color w:val="FF0000"/>
        </w:rPr>
        <w:t>ACTION</w:t>
      </w:r>
      <w:r>
        <w:rPr>
          <w:b/>
          <w:color w:val="FF0000"/>
        </w:rPr>
        <w:t xml:space="preserve"> REQUESTED</w:t>
      </w:r>
      <w:r w:rsidRPr="00F3701E">
        <w:rPr>
          <w:b/>
          <w:color w:val="FF0000"/>
        </w:rPr>
        <w:t>:</w:t>
      </w:r>
      <w:r w:rsidR="0009104C">
        <w:t xml:space="preserve"> Comments </w:t>
      </w:r>
      <w:r>
        <w:t xml:space="preserve">on this white paper </w:t>
      </w:r>
      <w:r w:rsidR="006F40EA">
        <w:t xml:space="preserve">and attachments </w:t>
      </w:r>
      <w:r w:rsidR="0009104C">
        <w:t>should be sent to Carey Johnston (</w:t>
      </w:r>
      <w:hyperlink r:id="rId9" w:history="1">
        <w:r w:rsidR="0009104C" w:rsidRPr="00377992">
          <w:rPr>
            <w:rStyle w:val="Hyperlink"/>
          </w:rPr>
          <w:t>johnston.carey@epa.gov</w:t>
        </w:r>
      </w:hyperlink>
      <w:r w:rsidR="0009104C">
        <w:t xml:space="preserve">) no later than </w:t>
      </w:r>
      <w:r w:rsidR="0009104C" w:rsidRPr="0009104C">
        <w:rPr>
          <w:u w:val="single"/>
        </w:rPr>
        <w:t>5 December 2016</w:t>
      </w:r>
      <w:r w:rsidR="0009104C">
        <w:t>.</w:t>
      </w:r>
    </w:p>
    <w:p w14:paraId="57B0D446" w14:textId="77777777" w:rsidR="0009104C" w:rsidRDefault="0009104C" w:rsidP="0009104C">
      <w:pPr>
        <w:spacing w:after="0" w:line="240" w:lineRule="auto"/>
        <w:ind w:left="720"/>
        <w:rPr>
          <w:b/>
        </w:rPr>
      </w:pPr>
    </w:p>
    <w:p w14:paraId="7F798DD5" w14:textId="4DE846E1" w:rsidR="0009104C" w:rsidRDefault="0009104C" w:rsidP="0009104C">
      <w:pPr>
        <w:spacing w:after="0" w:line="240" w:lineRule="auto"/>
        <w:rPr>
          <w:b/>
        </w:rPr>
      </w:pPr>
      <w:r>
        <w:rPr>
          <w:b/>
        </w:rPr>
        <w:t>TASKS:</w:t>
      </w:r>
    </w:p>
    <w:p w14:paraId="35CC738C" w14:textId="77777777" w:rsidR="0009104C" w:rsidRDefault="0009104C" w:rsidP="0009104C">
      <w:pPr>
        <w:spacing w:after="0" w:line="240" w:lineRule="auto"/>
        <w:ind w:left="720"/>
        <w:rPr>
          <w:b/>
        </w:rPr>
      </w:pPr>
    </w:p>
    <w:p w14:paraId="0BA4315C" w14:textId="52FABAB8" w:rsidR="00B831C4" w:rsidRDefault="0009104C" w:rsidP="0009104C">
      <w:pPr>
        <w:spacing w:after="0" w:line="240" w:lineRule="auto"/>
      </w:pPr>
      <w:r>
        <w:rPr>
          <w:b/>
        </w:rPr>
        <w:t>Step 1</w:t>
      </w:r>
      <w:r w:rsidRPr="006431C5">
        <w:rPr>
          <w:b/>
        </w:rPr>
        <w:t>:</w:t>
      </w:r>
      <w:r>
        <w:t xml:space="preserve"> To implement this proposal, </w:t>
      </w:r>
      <w:r w:rsidR="00B831C4">
        <w:t>ETDD’s ICIS staff</w:t>
      </w:r>
      <w:r>
        <w:t xml:space="preserve"> will change the ICIS-NPDES RNC Resolution code to “B” (“</w:t>
      </w:r>
      <w:r w:rsidRPr="005D1130">
        <w:t>Resolved – Manual by EPA/State/Tribal Action</w:t>
      </w:r>
      <w:r>
        <w:t xml:space="preserve">”) for </w:t>
      </w:r>
      <w:r w:rsidRPr="005308F7">
        <w:rPr>
          <w:u w:val="single"/>
        </w:rPr>
        <w:t>all</w:t>
      </w:r>
      <w:r>
        <w:t xml:space="preserve"> DMR non-receipt violations </w:t>
      </w:r>
      <w:r w:rsidRPr="002741D8">
        <w:t>f</w:t>
      </w:r>
      <w:r>
        <w:t xml:space="preserve">or non-major permittees on </w:t>
      </w:r>
      <w:r w:rsidRPr="007D3B0D">
        <w:rPr>
          <w:u w:val="single"/>
        </w:rPr>
        <w:t>31 December 2016</w:t>
      </w:r>
      <w:r>
        <w:t xml:space="preserve">. </w:t>
      </w:r>
      <w:r w:rsidR="0008182B">
        <w:t xml:space="preserve">See </w:t>
      </w:r>
      <w:r w:rsidR="0008182B" w:rsidRPr="0008182B">
        <w:rPr>
          <w:u w:val="single"/>
        </w:rPr>
        <w:t>Figure 1</w:t>
      </w:r>
      <w:r w:rsidR="0008182B">
        <w:t xml:space="preserve"> below for a description of how ICIS-NPDES processing of the RNC Resolution code affects </w:t>
      </w:r>
      <w:r w:rsidR="00D20A43">
        <w:t xml:space="preserve">permit </w:t>
      </w:r>
      <w:r w:rsidR="0008182B">
        <w:t xml:space="preserve">compliance status. </w:t>
      </w:r>
    </w:p>
    <w:p w14:paraId="4E9E1F18" w14:textId="77777777" w:rsidR="00B831C4" w:rsidRDefault="00B831C4" w:rsidP="0009104C">
      <w:pPr>
        <w:spacing w:after="0" w:line="240" w:lineRule="auto"/>
      </w:pPr>
    </w:p>
    <w:p w14:paraId="3C3B1C0B" w14:textId="7581B6EE" w:rsidR="0009104C" w:rsidRDefault="0009104C" w:rsidP="0009104C">
      <w:pPr>
        <w:spacing w:after="0" w:line="240" w:lineRule="auto"/>
      </w:pPr>
      <w:r>
        <w:t xml:space="preserve">This mass manual change in the RNC Resolution code will ensure that </w:t>
      </w:r>
      <w:r w:rsidRPr="00D20A43">
        <w:rPr>
          <w:u w:val="single"/>
        </w:rPr>
        <w:t>all</w:t>
      </w:r>
      <w:r>
        <w:t xml:space="preserve"> DMR non-receipt violations from </w:t>
      </w:r>
      <w:r w:rsidRPr="00E25CDA">
        <w:t xml:space="preserve">non-major permittees </w:t>
      </w:r>
      <w:r>
        <w:t xml:space="preserve">that occur prior to </w:t>
      </w:r>
      <w:r w:rsidRPr="005308F7">
        <w:rPr>
          <w:u w:val="single"/>
        </w:rPr>
        <w:t>1 January 2017</w:t>
      </w:r>
      <w:r>
        <w:t xml:space="preserve"> will result in a </w:t>
      </w:r>
      <w:r w:rsidR="00D20A43">
        <w:t xml:space="preserve">permit compliance status </w:t>
      </w:r>
      <w:r>
        <w:t xml:space="preserve">of “Resolved.” If there are no </w:t>
      </w:r>
      <w:r w:rsidRPr="00222103">
        <w:t xml:space="preserve">DMR non-receipt violations for </w:t>
      </w:r>
      <w:r>
        <w:t xml:space="preserve">a </w:t>
      </w:r>
      <w:r w:rsidRPr="00222103">
        <w:t>non-major permittee</w:t>
      </w:r>
      <w:r>
        <w:t xml:space="preserve"> the </w:t>
      </w:r>
      <w:r w:rsidR="00D20A43" w:rsidRPr="00D20A43">
        <w:t xml:space="preserve">permit compliance status </w:t>
      </w:r>
      <w:r w:rsidR="00D20A43">
        <w:t xml:space="preserve">code </w:t>
      </w:r>
      <w:r>
        <w:t xml:space="preserve">will be blank (i.e., null). </w:t>
      </w:r>
      <w:r w:rsidR="00B831C4">
        <w:t>ETDD staff</w:t>
      </w:r>
      <w:r w:rsidRPr="00483DA6">
        <w:t xml:space="preserve"> will </w:t>
      </w:r>
      <w:r>
        <w:t xml:space="preserve">coordinate with EPA Regions and states to identify any permitting authorities that wish to opt out </w:t>
      </w:r>
      <w:r w:rsidR="00D20A43">
        <w:t>of this task (e.g., currently Arkansas</w:t>
      </w:r>
      <w:r>
        <w:t xml:space="preserve"> and L</w:t>
      </w:r>
      <w:r w:rsidR="00D20A43">
        <w:t>ouisiana</w:t>
      </w:r>
      <w:r>
        <w:t xml:space="preserve"> show DMR non-receipt violation</w:t>
      </w:r>
      <w:r w:rsidR="00F3701E">
        <w:t>s for all of their DMR filers).</w:t>
      </w:r>
    </w:p>
    <w:p w14:paraId="2C232C92" w14:textId="77777777" w:rsidR="00F3701E" w:rsidRDefault="00F3701E" w:rsidP="0009104C">
      <w:pPr>
        <w:spacing w:after="0" w:line="240" w:lineRule="auto"/>
      </w:pPr>
    </w:p>
    <w:p w14:paraId="38268472" w14:textId="6AEA4699" w:rsidR="0009104C" w:rsidRDefault="00B831C4" w:rsidP="0009104C">
      <w:pPr>
        <w:spacing w:after="0" w:line="240" w:lineRule="auto"/>
      </w:pPr>
      <w:r>
        <w:t>ETDD staff</w:t>
      </w:r>
      <w:r w:rsidR="0009104C">
        <w:t xml:space="preserve"> will also </w:t>
      </w:r>
      <w:r w:rsidR="0009104C" w:rsidRPr="00D55F9C">
        <w:t>turn permit compliance tracking and DMR non-receipt tracking to “On” for all DMR filers in ICIS-NPDES</w:t>
      </w:r>
      <w:r w:rsidR="0009104C">
        <w:t xml:space="preserve"> on </w:t>
      </w:r>
      <w:r w:rsidR="0009104C" w:rsidRPr="00483DA6">
        <w:rPr>
          <w:u w:val="single"/>
        </w:rPr>
        <w:t xml:space="preserve">1 </w:t>
      </w:r>
      <w:r w:rsidR="0009104C">
        <w:rPr>
          <w:u w:val="single"/>
        </w:rPr>
        <w:t xml:space="preserve">January </w:t>
      </w:r>
      <w:r w:rsidR="0009104C" w:rsidRPr="00483DA6">
        <w:rPr>
          <w:u w:val="single"/>
        </w:rPr>
        <w:t>201</w:t>
      </w:r>
      <w:r w:rsidR="0009104C">
        <w:rPr>
          <w:u w:val="single"/>
        </w:rPr>
        <w:t>7</w:t>
      </w:r>
      <w:r w:rsidR="0009104C" w:rsidRPr="00D55F9C">
        <w:t>.</w:t>
      </w:r>
      <w:r w:rsidR="0009104C">
        <w:t xml:space="preserve"> </w:t>
      </w:r>
      <w:r>
        <w:t>We</w:t>
      </w:r>
      <w:r w:rsidR="0009104C" w:rsidRPr="00483DA6">
        <w:t xml:space="preserve"> will coordinate with ICIS-NPDES user</w:t>
      </w:r>
      <w:r w:rsidR="0009104C">
        <w:t>s</w:t>
      </w:r>
      <w:r w:rsidR="0009104C" w:rsidRPr="00483DA6">
        <w:t xml:space="preserve"> prior to this change to ensure that authorized NPDES programs are aware of this change and can highlight a</w:t>
      </w:r>
      <w:r w:rsidR="0009104C">
        <w:t>ny permittees that should be ex</w:t>
      </w:r>
      <w:r w:rsidR="0009104C" w:rsidRPr="00483DA6">
        <w:t>e</w:t>
      </w:r>
      <w:r w:rsidR="0009104C">
        <w:t>m</w:t>
      </w:r>
      <w:r w:rsidR="0009104C" w:rsidRPr="00483DA6">
        <w:t>pt from this action.</w:t>
      </w:r>
    </w:p>
    <w:p w14:paraId="504DB9DF" w14:textId="77777777" w:rsidR="00F3701E" w:rsidRDefault="00F3701E" w:rsidP="0009104C">
      <w:pPr>
        <w:spacing w:after="0" w:line="240" w:lineRule="auto"/>
      </w:pPr>
    </w:p>
    <w:p w14:paraId="4CE02C7F" w14:textId="544BFDA3" w:rsidR="0009104C" w:rsidRDefault="00B831C4" w:rsidP="0009104C">
      <w:pPr>
        <w:spacing w:after="0" w:line="240" w:lineRule="auto"/>
      </w:pPr>
      <w:r>
        <w:t>ETDD staff</w:t>
      </w:r>
      <w:r w:rsidR="0009104C" w:rsidRPr="00483DA6">
        <w:t xml:space="preserve"> will update the visibility rules in ECHO Gov </w:t>
      </w:r>
      <w:r w:rsidR="0009104C">
        <w:t xml:space="preserve">on </w:t>
      </w:r>
      <w:r w:rsidR="0009104C" w:rsidRPr="005B28AE">
        <w:rPr>
          <w:u w:val="single"/>
        </w:rPr>
        <w:t>1 January 2017</w:t>
      </w:r>
      <w:r w:rsidR="0009104C">
        <w:t xml:space="preserve"> </w:t>
      </w:r>
      <w:r w:rsidR="0009104C" w:rsidRPr="00483DA6">
        <w:t xml:space="preserve">for DMR non-receipt violations and the corresponding </w:t>
      </w:r>
      <w:r w:rsidR="002031CB" w:rsidRPr="002031CB">
        <w:t xml:space="preserve">permit </w:t>
      </w:r>
      <w:r w:rsidR="0009104C" w:rsidRPr="00483DA6">
        <w:t xml:space="preserve">compliance status for non-major DMR filers as described above. ECHO Gov </w:t>
      </w:r>
      <w:r w:rsidR="001E0EC8">
        <w:t xml:space="preserve">will use the ICIS-NPDES </w:t>
      </w:r>
      <w:r w:rsidR="00D20A43">
        <w:t xml:space="preserve">permit compliance status code [i.e., the </w:t>
      </w:r>
      <w:r w:rsidR="00B612A0">
        <w:t>RNC</w:t>
      </w:r>
      <w:r w:rsidR="001E0EC8" w:rsidRPr="001E0EC8">
        <w:t xml:space="preserve"> Status code</w:t>
      </w:r>
      <w:r w:rsidR="00D20A43">
        <w:t xml:space="preserve">] </w:t>
      </w:r>
      <w:r w:rsidR="0009104C" w:rsidRPr="00483DA6">
        <w:t>to show the permittee compliance status</w:t>
      </w:r>
      <w:r w:rsidR="001E0EC8">
        <w:t>.</w:t>
      </w:r>
      <w:r w:rsidR="001E0EC8">
        <w:rPr>
          <w:rStyle w:val="FootnoteReference"/>
        </w:rPr>
        <w:footnoteReference w:id="1"/>
      </w:r>
      <w:r w:rsidR="001E0EC8">
        <w:t xml:space="preserve"> </w:t>
      </w:r>
    </w:p>
    <w:p w14:paraId="615B151D" w14:textId="77777777" w:rsidR="0009104C" w:rsidRDefault="0009104C" w:rsidP="0009104C">
      <w:pPr>
        <w:spacing w:after="0" w:line="240" w:lineRule="auto"/>
      </w:pPr>
    </w:p>
    <w:p w14:paraId="00F28048" w14:textId="0ED8820F" w:rsidR="001E0EC8" w:rsidRDefault="0009104C" w:rsidP="0009104C">
      <w:pPr>
        <w:spacing w:after="0" w:line="240" w:lineRule="auto"/>
      </w:pPr>
      <w:r>
        <w:t xml:space="preserve">As described above, </w:t>
      </w:r>
      <w:r w:rsidR="00B74828">
        <w:t>ETDD staff</w:t>
      </w:r>
      <w:r>
        <w:t xml:space="preserve"> will also provide states with an easy method</w:t>
      </w:r>
      <w:r w:rsidR="00B831C4">
        <w:t xml:space="preserve"> through ECHO Gov</w:t>
      </w:r>
      <w:r>
        <w:t xml:space="preserve"> to identify permittees that have the </w:t>
      </w:r>
      <w:r w:rsidR="00D20A43" w:rsidRPr="00D20A43">
        <w:t xml:space="preserve">permit compliance status code </w:t>
      </w:r>
      <w:r>
        <w:t>of “D” or “N” due to non-compliance unrelated to DMRs (e.g., non-receipt of compliance schedule reports, single event violations)</w:t>
      </w:r>
      <w:r w:rsidR="00E352EA">
        <w:t xml:space="preserve"> (see Attachment 1 for a description of the </w:t>
      </w:r>
      <w:r w:rsidR="00D20A43">
        <w:t xml:space="preserve">permit compliance status codes </w:t>
      </w:r>
      <w:r w:rsidR="00E352EA" w:rsidRPr="00E352EA">
        <w:t>of “D” or “N”</w:t>
      </w:r>
      <w:r w:rsidR="00E352EA">
        <w:t>)</w:t>
      </w:r>
      <w:r>
        <w:t xml:space="preserve">. </w:t>
      </w:r>
    </w:p>
    <w:p w14:paraId="33BDBD12" w14:textId="77777777" w:rsidR="001E0EC8" w:rsidRDefault="001E0EC8" w:rsidP="0009104C">
      <w:pPr>
        <w:spacing w:after="0" w:line="240" w:lineRule="auto"/>
      </w:pPr>
    </w:p>
    <w:p w14:paraId="65D29712" w14:textId="722FEDAB" w:rsidR="0009104C" w:rsidRDefault="0009104C" w:rsidP="0009104C">
      <w:pPr>
        <w:spacing w:after="0" w:line="240" w:lineRule="auto"/>
      </w:pPr>
      <w:r w:rsidRPr="001E03D1">
        <w:t>EPA</w:t>
      </w:r>
      <w:r>
        <w:t xml:space="preserve"> and the </w:t>
      </w:r>
      <w:r w:rsidRPr="001E03D1">
        <w:t>states</w:t>
      </w:r>
      <w:r>
        <w:t xml:space="preserve"> will also be able to use </w:t>
      </w:r>
      <w:r w:rsidR="003C5442">
        <w:t>ECHO Gov</w:t>
      </w:r>
      <w:r>
        <w:t xml:space="preserve"> to i</w:t>
      </w:r>
      <w:r w:rsidRPr="001E03D1">
        <w:t>dentify strengths and weaknesses in NPDES electronic reporting as well as identify the list of permittees that have “DMR Non-Receipt” or “Permit Compliance Tracking Status” set to “Off”</w:t>
      </w:r>
      <w:r w:rsidR="00B831C4">
        <w:t xml:space="preserve">.  ECHO Gov will also be able to provide </w:t>
      </w:r>
      <w:r w:rsidRPr="0097786A">
        <w:t>the corresponding durations of these “off” statuses</w:t>
      </w:r>
      <w:r w:rsidRPr="001E03D1">
        <w:t>.</w:t>
      </w:r>
      <w:r>
        <w:t xml:space="preserve"> </w:t>
      </w:r>
      <w:r w:rsidR="00B831C4">
        <w:t>We</w:t>
      </w:r>
      <w:r>
        <w:t xml:space="preserve"> will update documentation (including data caveats) in ECHO Gov to more fully explain how to interpret a </w:t>
      </w:r>
      <w:r w:rsidRPr="00AA2052">
        <w:t>permittee</w:t>
      </w:r>
      <w:r>
        <w:t xml:space="preserve">’s </w:t>
      </w:r>
      <w:r w:rsidRPr="00AA2052">
        <w:t xml:space="preserve">compliance status </w:t>
      </w:r>
      <w:r>
        <w:t xml:space="preserve">when it is </w:t>
      </w:r>
      <w:r w:rsidRPr="00AA2052">
        <w:t>“Unknown”</w:t>
      </w:r>
      <w:r>
        <w:t>.</w:t>
      </w:r>
    </w:p>
    <w:p w14:paraId="110B3BFA" w14:textId="77777777" w:rsidR="001E0EC8" w:rsidRDefault="001E0EC8" w:rsidP="0009104C">
      <w:pPr>
        <w:spacing w:after="0" w:line="240" w:lineRule="auto"/>
      </w:pPr>
    </w:p>
    <w:p w14:paraId="7A9B70F1" w14:textId="77777777" w:rsidR="00D30776" w:rsidRDefault="00D30776" w:rsidP="0009104C">
      <w:pPr>
        <w:spacing w:after="0" w:line="240" w:lineRule="auto"/>
      </w:pPr>
    </w:p>
    <w:p w14:paraId="5AFA735E" w14:textId="77777777" w:rsidR="0009104C" w:rsidRDefault="0009104C" w:rsidP="0009104C">
      <w:pPr>
        <w:spacing w:after="0" w:line="240" w:lineRule="auto"/>
        <w:ind w:left="180"/>
        <w:jc w:val="center"/>
      </w:pPr>
      <w:r>
        <w:rPr>
          <w:noProof/>
        </w:rPr>
        <w:drawing>
          <wp:inline distT="0" distB="0" distL="0" distR="0" wp14:anchorId="1FF0B6D7" wp14:editId="55676506">
            <wp:extent cx="5122799" cy="2945130"/>
            <wp:effectExtent l="0" t="0" r="190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799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D4F8E" w14:textId="77777777" w:rsidR="00135F36" w:rsidRDefault="0008182B" w:rsidP="00135F36">
      <w:pPr>
        <w:spacing w:after="0" w:line="240" w:lineRule="auto"/>
        <w:ind w:left="360"/>
      </w:pPr>
      <w:r>
        <w:rPr>
          <w:b/>
        </w:rPr>
        <w:t xml:space="preserve">Figure 1. </w:t>
      </w:r>
      <w:r w:rsidRPr="0008182B">
        <w:t>Current Processing of RNC Resolution Code</w:t>
      </w:r>
      <w:r w:rsidR="00135F36">
        <w:t xml:space="preserve">. </w:t>
      </w:r>
    </w:p>
    <w:p w14:paraId="1E9D796A" w14:textId="254034BF" w:rsidR="001E0EC8" w:rsidRDefault="00135F36" w:rsidP="00D20A43">
      <w:pPr>
        <w:spacing w:after="0" w:line="240" w:lineRule="auto"/>
        <w:ind w:left="360"/>
        <w:rPr>
          <w:b/>
          <w:color w:val="FF0000"/>
        </w:rPr>
      </w:pPr>
      <w:r w:rsidRPr="00135F36">
        <w:rPr>
          <w:u w:val="single"/>
        </w:rPr>
        <w:t>Source</w:t>
      </w:r>
      <w:r>
        <w:t xml:space="preserve">: </w:t>
      </w:r>
      <w:r w:rsidR="0009104C" w:rsidRPr="007D3B0D">
        <w:t>Figure 9.6-33</w:t>
      </w:r>
      <w:r w:rsidR="0009104C">
        <w:t xml:space="preserve"> - </w:t>
      </w:r>
      <w:r w:rsidR="0009104C" w:rsidRPr="007D3B0D">
        <w:t>Decision Tree for Determining Automatic Permit QNCR Status</w:t>
      </w:r>
      <w:r w:rsidR="0009104C">
        <w:t xml:space="preserve">, </w:t>
      </w:r>
      <w:r w:rsidR="0009104C" w:rsidRPr="007D3B0D">
        <w:t>ICIS-NPDES Detailed Design Document.</w:t>
      </w:r>
      <w:r w:rsidR="00B74828">
        <w:t xml:space="preserve"> Updated with RNC Processing Technical Design, Version 1.17, 9 July 2013.</w:t>
      </w:r>
      <w:r w:rsidR="001E0EC8">
        <w:rPr>
          <w:b/>
          <w:color w:val="FF0000"/>
        </w:rPr>
        <w:br w:type="page"/>
      </w:r>
    </w:p>
    <w:p w14:paraId="71A9DBEA" w14:textId="5EDAD575" w:rsidR="00B75998" w:rsidRDefault="00B75998" w:rsidP="00F3701E">
      <w:pPr>
        <w:spacing w:after="0" w:line="240" w:lineRule="auto"/>
      </w:pPr>
      <w:r>
        <w:lastRenderedPageBreak/>
        <w:t xml:space="preserve">This task will be applied to </w:t>
      </w:r>
      <w:r w:rsidRPr="00B75998">
        <w:rPr>
          <w:u w:val="single"/>
        </w:rPr>
        <w:t>all</w:t>
      </w:r>
      <w:r>
        <w:t xml:space="preserve"> non-major DMR filers except for specific exceptions that are identified by authorized NPDES programs and shared with EPA. This includes permittees that had their </w:t>
      </w:r>
      <w:r w:rsidRPr="00B75998">
        <w:t>Permit Major/Minor Status Indicator</w:t>
      </w:r>
      <w:r>
        <w:t xml:space="preserve"> changed from “Major” to “Minor.” Conversely, this task will apply to </w:t>
      </w:r>
      <w:r w:rsidRPr="00B75998">
        <w:t>permittees that had their Permit Major/Minor Status Indicator changed from “M</w:t>
      </w:r>
      <w:r>
        <w:t>inor</w:t>
      </w:r>
      <w:r w:rsidRPr="00B75998">
        <w:t>” to “M</w:t>
      </w:r>
      <w:r>
        <w:t>ajor</w:t>
      </w:r>
      <w:r w:rsidRPr="00B75998">
        <w:t>”</w:t>
      </w:r>
      <w:r>
        <w:t xml:space="preserve"> but only for the months when the permittee was classified as a “Minor.”</w:t>
      </w:r>
    </w:p>
    <w:p w14:paraId="1C668A55" w14:textId="77777777" w:rsidR="00B75998" w:rsidRDefault="00B75998" w:rsidP="00F3701E">
      <w:pPr>
        <w:spacing w:after="0" w:line="240" w:lineRule="auto"/>
      </w:pPr>
    </w:p>
    <w:p w14:paraId="4B1D6C83" w14:textId="77777777" w:rsidR="001E0EC8" w:rsidRDefault="00F3701E" w:rsidP="00F3701E">
      <w:pPr>
        <w:spacing w:after="0" w:line="240" w:lineRule="auto"/>
        <w:rPr>
          <w:b/>
        </w:rPr>
      </w:pPr>
      <w:r w:rsidRPr="00F3701E">
        <w:rPr>
          <w:b/>
          <w:color w:val="FF0000"/>
        </w:rPr>
        <w:t>ACTION</w:t>
      </w:r>
      <w:r>
        <w:rPr>
          <w:b/>
          <w:color w:val="FF0000"/>
        </w:rPr>
        <w:t xml:space="preserve"> REQUESTED</w:t>
      </w:r>
      <w:r w:rsidRPr="00F3701E">
        <w:rPr>
          <w:b/>
          <w:color w:val="FF0000"/>
        </w:rPr>
        <w:t>:</w:t>
      </w:r>
      <w:r w:rsidRPr="00F3701E">
        <w:rPr>
          <w:color w:val="FF0000"/>
        </w:rPr>
        <w:t xml:space="preserve"> </w:t>
      </w:r>
      <w:r w:rsidR="00F75546">
        <w:t xml:space="preserve">Permit authorities </w:t>
      </w:r>
      <w:r>
        <w:t xml:space="preserve">should send </w:t>
      </w:r>
      <w:r w:rsidR="00207C35">
        <w:t xml:space="preserve">EPA </w:t>
      </w:r>
      <w:r>
        <w:t xml:space="preserve">the list of </w:t>
      </w:r>
      <w:r w:rsidR="00F75546">
        <w:t xml:space="preserve">all </w:t>
      </w:r>
      <w:r w:rsidR="00207C35">
        <w:t xml:space="preserve">non-major </w:t>
      </w:r>
      <w:r>
        <w:t xml:space="preserve">NPDES IDs that they wish to </w:t>
      </w:r>
      <w:r w:rsidR="00F75546">
        <w:t>exclude from</w:t>
      </w:r>
      <w:r w:rsidRPr="00F3701E">
        <w:t xml:space="preserve"> </w:t>
      </w:r>
      <w:r w:rsidR="00207C35">
        <w:t xml:space="preserve">the </w:t>
      </w:r>
      <w:r>
        <w:t>manual resolution of DMR non-receipt</w:t>
      </w:r>
      <w:r w:rsidR="00207C35">
        <w:t xml:space="preserve"> violations in ICIS-NPDES. In a separate list</w:t>
      </w:r>
      <w:r>
        <w:t>,</w:t>
      </w:r>
      <w:r w:rsidR="00207C35">
        <w:t xml:space="preserve"> permit authorities should also send EPA the list of non-major NPDES IDs that should be excluded from the task of </w:t>
      </w:r>
      <w:r w:rsidR="00F75546">
        <w:t xml:space="preserve">setting of </w:t>
      </w:r>
      <w:r w:rsidRPr="00F3701E">
        <w:t>DMR non-receipt tracking to “On”</w:t>
      </w:r>
      <w:r w:rsidR="00207C35">
        <w:t xml:space="preserve">. These two lists should be sent </w:t>
      </w:r>
      <w:r>
        <w:t>to Steve Rubin (</w:t>
      </w:r>
      <w:hyperlink r:id="rId11" w:history="1">
        <w:r w:rsidRPr="00377992">
          <w:rPr>
            <w:rStyle w:val="Hyperlink"/>
          </w:rPr>
          <w:t>rubin.steven@epa.gov</w:t>
        </w:r>
      </w:hyperlink>
      <w:r>
        <w:t xml:space="preserve">) </w:t>
      </w:r>
      <w:r w:rsidR="00207C35">
        <w:t xml:space="preserve">no later than </w:t>
      </w:r>
      <w:r w:rsidRPr="00F3701E">
        <w:rPr>
          <w:u w:val="single"/>
        </w:rPr>
        <w:t>5 December 2016</w:t>
      </w:r>
      <w:r>
        <w:t>.</w:t>
      </w:r>
    </w:p>
    <w:p w14:paraId="112F6F8C" w14:textId="77777777" w:rsidR="001E0EC8" w:rsidRDefault="001E0EC8" w:rsidP="00F3701E">
      <w:pPr>
        <w:spacing w:after="0" w:line="240" w:lineRule="auto"/>
        <w:rPr>
          <w:b/>
        </w:rPr>
      </w:pPr>
    </w:p>
    <w:p w14:paraId="036C7A23" w14:textId="229782F8" w:rsidR="00F3701E" w:rsidRPr="001E0EC8" w:rsidRDefault="0009104C" w:rsidP="00F3701E">
      <w:pPr>
        <w:spacing w:after="0" w:line="240" w:lineRule="auto"/>
        <w:rPr>
          <w:b/>
        </w:rPr>
      </w:pPr>
      <w:r>
        <w:rPr>
          <w:b/>
        </w:rPr>
        <w:t>Step 2</w:t>
      </w:r>
      <w:r w:rsidRPr="006431C5">
        <w:rPr>
          <w:b/>
        </w:rPr>
        <w:t>:</w:t>
      </w:r>
      <w:r>
        <w:t xml:space="preserve"> To implement </w:t>
      </w:r>
      <w:r w:rsidR="00EF6084">
        <w:t xml:space="preserve">the second part of </w:t>
      </w:r>
      <w:r>
        <w:t xml:space="preserve">this proposal, </w:t>
      </w:r>
      <w:r w:rsidR="00EF6084">
        <w:t>ETDD staff</w:t>
      </w:r>
      <w:r>
        <w:t xml:space="preserve"> will change the ICIS-NPDES RNC Resolution code to “B” (“</w:t>
      </w:r>
      <w:r w:rsidRPr="005D1130">
        <w:t>Resolved – Manual by EPA/State/Tribal Action</w:t>
      </w:r>
      <w:r>
        <w:t xml:space="preserve">”) for </w:t>
      </w:r>
      <w:r w:rsidRPr="005308F7">
        <w:rPr>
          <w:u w:val="single"/>
        </w:rPr>
        <w:t>all</w:t>
      </w:r>
      <w:r>
        <w:t xml:space="preserve"> DMR non-receipt violations </w:t>
      </w:r>
      <w:r w:rsidRPr="002741D8">
        <w:t>f</w:t>
      </w:r>
      <w:r>
        <w:t xml:space="preserve">or non-major permittees on </w:t>
      </w:r>
      <w:r w:rsidRPr="007D3B0D">
        <w:rPr>
          <w:u w:val="single"/>
        </w:rPr>
        <w:t>3</w:t>
      </w:r>
      <w:r>
        <w:rPr>
          <w:u w:val="single"/>
        </w:rPr>
        <w:t>0 June 2017</w:t>
      </w:r>
      <w:r>
        <w:t xml:space="preserve">. This </w:t>
      </w:r>
      <w:r w:rsidR="00EF6084">
        <w:t xml:space="preserve">one-time, </w:t>
      </w:r>
      <w:r>
        <w:t xml:space="preserve">mass manual change in the RNC Resolution code will ensure that </w:t>
      </w:r>
      <w:r w:rsidRPr="00D20A43">
        <w:rPr>
          <w:u w:val="single"/>
        </w:rPr>
        <w:t>all</w:t>
      </w:r>
      <w:r>
        <w:t xml:space="preserve"> DMR non-receipt violations from </w:t>
      </w:r>
      <w:r w:rsidRPr="00E25CDA">
        <w:t xml:space="preserve">non-major permittees </w:t>
      </w:r>
      <w:r>
        <w:t xml:space="preserve">that occur prior to </w:t>
      </w:r>
      <w:r w:rsidRPr="005308F7">
        <w:rPr>
          <w:u w:val="single"/>
        </w:rPr>
        <w:t xml:space="preserve">1 </w:t>
      </w:r>
      <w:r>
        <w:rPr>
          <w:u w:val="single"/>
        </w:rPr>
        <w:t xml:space="preserve">July </w:t>
      </w:r>
      <w:r w:rsidRPr="005308F7">
        <w:rPr>
          <w:u w:val="single"/>
        </w:rPr>
        <w:t>2017</w:t>
      </w:r>
      <w:r>
        <w:t xml:space="preserve"> will result in a </w:t>
      </w:r>
      <w:r w:rsidR="00D20A43">
        <w:t xml:space="preserve">permit compliance status </w:t>
      </w:r>
      <w:r>
        <w:t xml:space="preserve">code of “Resolved.” Similar to Step 1, </w:t>
      </w:r>
      <w:r w:rsidR="00B74828">
        <w:t>ETDD staff</w:t>
      </w:r>
      <w:r w:rsidRPr="005B28AE">
        <w:t xml:space="preserve"> will coordinate with EPA Regions and states to identify any permitting authorities that wish to opt out of this task (e.g., </w:t>
      </w:r>
      <w:r w:rsidR="00D20A43" w:rsidRPr="00D20A43">
        <w:t>currently Arkansas and Louisiana show DMR non-receipt violations for all of their DMR filers</w:t>
      </w:r>
      <w:r w:rsidRPr="005B28AE">
        <w:t>).</w:t>
      </w:r>
    </w:p>
    <w:p w14:paraId="67A31362" w14:textId="77777777" w:rsidR="00F3701E" w:rsidRDefault="00F3701E" w:rsidP="00F3701E">
      <w:pPr>
        <w:spacing w:after="0" w:line="240" w:lineRule="auto"/>
      </w:pPr>
    </w:p>
    <w:p w14:paraId="0E7A28F1" w14:textId="79E388B5" w:rsidR="0009104C" w:rsidRDefault="00B74828" w:rsidP="00F3701E">
      <w:pPr>
        <w:spacing w:after="0" w:line="240" w:lineRule="auto"/>
      </w:pPr>
      <w:r w:rsidRPr="00B74828">
        <w:t>ETDD sta</w:t>
      </w:r>
      <w:r>
        <w:t xml:space="preserve">ff </w:t>
      </w:r>
      <w:r w:rsidR="0009104C" w:rsidRPr="00483DA6">
        <w:t xml:space="preserve">will update the visibility rules in </w:t>
      </w:r>
      <w:r w:rsidR="0009104C">
        <w:t xml:space="preserve">ECHO and </w:t>
      </w:r>
      <w:r w:rsidR="0009104C" w:rsidRPr="00483DA6">
        <w:t xml:space="preserve">ECHO Gov </w:t>
      </w:r>
      <w:r w:rsidR="0009104C">
        <w:t xml:space="preserve">on </w:t>
      </w:r>
      <w:r w:rsidR="0009104C" w:rsidRPr="005B28AE">
        <w:rPr>
          <w:u w:val="single"/>
        </w:rPr>
        <w:t>1 J</w:t>
      </w:r>
      <w:r w:rsidR="0009104C">
        <w:rPr>
          <w:u w:val="single"/>
        </w:rPr>
        <w:t xml:space="preserve">uly </w:t>
      </w:r>
      <w:r w:rsidR="0009104C" w:rsidRPr="005B28AE">
        <w:rPr>
          <w:u w:val="single"/>
        </w:rPr>
        <w:t>2017</w:t>
      </w:r>
      <w:r w:rsidR="0009104C">
        <w:t xml:space="preserve"> </w:t>
      </w:r>
      <w:r w:rsidR="0009104C" w:rsidRPr="00483DA6">
        <w:t xml:space="preserve">for DMR non-receipt violations and the corresponding </w:t>
      </w:r>
      <w:r w:rsidR="00B75998">
        <w:t xml:space="preserve">permit </w:t>
      </w:r>
      <w:r w:rsidR="0009104C" w:rsidRPr="00483DA6">
        <w:t xml:space="preserve">compliance status for non-major DMR filers as described above. </w:t>
      </w:r>
      <w:r w:rsidR="002031CB" w:rsidRPr="002031CB">
        <w:t xml:space="preserve">ECHO </w:t>
      </w:r>
      <w:r w:rsidR="002031CB">
        <w:t xml:space="preserve">and ECHO </w:t>
      </w:r>
      <w:r w:rsidR="002031CB" w:rsidRPr="002031CB">
        <w:t xml:space="preserve">Gov will use the ICIS-NPDES </w:t>
      </w:r>
      <w:r w:rsidR="00B75998" w:rsidRPr="00B75998">
        <w:t xml:space="preserve">permit compliance status </w:t>
      </w:r>
      <w:r w:rsidR="002031CB" w:rsidRPr="002031CB">
        <w:t>code to show the permittee compliance status</w:t>
      </w:r>
      <w:r w:rsidR="002031CB">
        <w:t xml:space="preserve">. </w:t>
      </w:r>
      <w:r>
        <w:t>ETDD staff</w:t>
      </w:r>
      <w:r w:rsidR="0009104C" w:rsidRPr="00AA2052">
        <w:t xml:space="preserve"> will update its documentation (including data caveats) in ECHO </w:t>
      </w:r>
      <w:r w:rsidR="0008182B">
        <w:t xml:space="preserve">and ECHO Gov </w:t>
      </w:r>
      <w:r w:rsidR="0009104C" w:rsidRPr="00AA2052">
        <w:t>to more fully explain how to interpret a permittee’s compliance status when it is “Unknown”.</w:t>
      </w:r>
    </w:p>
    <w:p w14:paraId="5EDF145F" w14:textId="77777777" w:rsidR="00F3701E" w:rsidRDefault="00F3701E" w:rsidP="00F3701E">
      <w:pPr>
        <w:spacing w:after="0" w:line="240" w:lineRule="auto"/>
      </w:pPr>
    </w:p>
    <w:p w14:paraId="48DAFDB3" w14:textId="3D09F97D" w:rsidR="00D20A43" w:rsidRPr="00B612A0" w:rsidRDefault="0009104C" w:rsidP="00B612A0">
      <w:pPr>
        <w:spacing w:after="0" w:line="240" w:lineRule="auto"/>
      </w:pPr>
      <w:r>
        <w:t xml:space="preserve">Finally, </w:t>
      </w:r>
      <w:r w:rsidR="00F3701E" w:rsidRPr="00F3701E">
        <w:t>E</w:t>
      </w:r>
      <w:r w:rsidR="00B74828">
        <w:t>TDD staff</w:t>
      </w:r>
      <w:r w:rsidRPr="005B28AE">
        <w:t xml:space="preserve"> will</w:t>
      </w:r>
      <w:r w:rsidR="003C5442">
        <w:t xml:space="preserve"> also publish the </w:t>
      </w:r>
      <w:r w:rsidR="003C5442" w:rsidRPr="003C5442">
        <w:t>‘NPDES Electronic Reporting Readiness and Data Completeness Dashboard’</w:t>
      </w:r>
      <w:r w:rsidR="003C5442">
        <w:t xml:space="preserve"> </w:t>
      </w:r>
      <w:r>
        <w:t xml:space="preserve">to ECHO </w:t>
      </w:r>
      <w:r w:rsidR="00E352EA">
        <w:t xml:space="preserve">on 1 July 2017 </w:t>
      </w:r>
      <w:r>
        <w:t xml:space="preserve">so that EPA, states, and the public will be able </w:t>
      </w:r>
      <w:r w:rsidRPr="001E03D1">
        <w:t>to identify strengths and weaknesses in NPDES electronic reporting as well as identify the list of permittees that have “DMR Non-Receipt” or “Permit Compliance Tracking Status” set to “Off” (</w:t>
      </w:r>
      <w:r w:rsidRPr="0097786A">
        <w:t>as well as the corresponding durations of these “off” statuses</w:t>
      </w:r>
      <w:r>
        <w:t>)</w:t>
      </w:r>
      <w:r w:rsidR="003C5442">
        <w:t>.</w:t>
      </w:r>
    </w:p>
    <w:p w14:paraId="34268424" w14:textId="77777777" w:rsidR="00B612A0" w:rsidRDefault="00B612A0">
      <w:pPr>
        <w:rPr>
          <w:b/>
        </w:rPr>
      </w:pPr>
      <w:r>
        <w:rPr>
          <w:b/>
        </w:rPr>
        <w:br w:type="page"/>
      </w:r>
    </w:p>
    <w:p w14:paraId="0E360AAE" w14:textId="42B4FBA3" w:rsidR="00C41231" w:rsidRDefault="00C41231" w:rsidP="00C41231">
      <w:pPr>
        <w:pStyle w:val="ListParagraph"/>
        <w:spacing w:after="0" w:line="240" w:lineRule="auto"/>
        <w:jc w:val="center"/>
      </w:pPr>
      <w:r w:rsidRPr="00C41231">
        <w:rPr>
          <w:b/>
        </w:rPr>
        <w:lastRenderedPageBreak/>
        <w:t>Attachment 1</w:t>
      </w:r>
      <w:r>
        <w:t xml:space="preserve"> - Curre</w:t>
      </w:r>
      <w:r w:rsidR="003C5442">
        <w:t xml:space="preserve">nt ICIS-NPDES, ECHO Gov, and ECHO </w:t>
      </w:r>
      <w:r>
        <w:t xml:space="preserve">Processing of </w:t>
      </w:r>
    </w:p>
    <w:p w14:paraId="417BA806" w14:textId="4A446BC2" w:rsidR="007F1A8F" w:rsidRDefault="00C41231" w:rsidP="00C41231">
      <w:pPr>
        <w:pStyle w:val="ListParagraph"/>
        <w:spacing w:after="0" w:line="240" w:lineRule="auto"/>
        <w:jc w:val="center"/>
      </w:pPr>
      <w:r>
        <w:t>DMR Non-Receipt Data and Quarterly Compliance Status</w:t>
      </w:r>
    </w:p>
    <w:p w14:paraId="2E3DA6D5" w14:textId="77777777" w:rsidR="00C41231" w:rsidRDefault="00C41231" w:rsidP="001C40BA">
      <w:pPr>
        <w:spacing w:after="0" w:line="240" w:lineRule="auto"/>
      </w:pPr>
    </w:p>
    <w:p w14:paraId="1D26B391" w14:textId="495CEF40" w:rsidR="00C41231" w:rsidRDefault="00BC6BE9" w:rsidP="00C41231">
      <w:pPr>
        <w:spacing w:after="0" w:line="240" w:lineRule="auto"/>
      </w:pPr>
      <w:r w:rsidRPr="00BC6BE9">
        <w:t xml:space="preserve">ICIS-NPDES automatically </w:t>
      </w:r>
      <w:r w:rsidR="00CC7755">
        <w:t xml:space="preserve">generates </w:t>
      </w:r>
      <w:r w:rsidR="00F6092B">
        <w:t xml:space="preserve">DMR non-receipt </w:t>
      </w:r>
      <w:r w:rsidR="009D6B45">
        <w:t>violations</w:t>
      </w:r>
      <w:r w:rsidR="00F6092B">
        <w:t xml:space="preserve"> for all permittees</w:t>
      </w:r>
      <w:r w:rsidR="00442C43">
        <w:t xml:space="preserve"> (majors and non-majors)</w:t>
      </w:r>
      <w:r w:rsidR="009D6B45">
        <w:t xml:space="preserve">. </w:t>
      </w:r>
      <w:r w:rsidR="00F6092B">
        <w:t xml:space="preserve">ICIS-NPDES automatically </w:t>
      </w:r>
      <w:r w:rsidR="00395A44">
        <w:t xml:space="preserve">creates </w:t>
      </w:r>
      <w:r w:rsidR="00FC47B5">
        <w:t>“</w:t>
      </w:r>
      <w:r w:rsidR="00395A44">
        <w:t>V</w:t>
      </w:r>
      <w:r w:rsidR="00F6092B">
        <w:t>iolation</w:t>
      </w:r>
      <w:r w:rsidR="00FC47B5">
        <w:t>”</w:t>
      </w:r>
      <w:r w:rsidR="00F6092B">
        <w:t xml:space="preserve"> codes for missing DMR values with monitoring requirements (D80) and missing DMR values with effluent limits (D90). </w:t>
      </w:r>
      <w:r w:rsidR="00110B90">
        <w:t xml:space="preserve">Any DMR value not received within 31 days of the DMR form due date results in the generation of a </w:t>
      </w:r>
      <w:r w:rsidR="00FC47B5">
        <w:t>V</w:t>
      </w:r>
      <w:r w:rsidR="00442C43">
        <w:t xml:space="preserve">iolation </w:t>
      </w:r>
      <w:r w:rsidR="00FC47B5">
        <w:t xml:space="preserve">code </w:t>
      </w:r>
      <w:r w:rsidR="00442C43">
        <w:t xml:space="preserve">(D80 or D90). ICIS-NPDES </w:t>
      </w:r>
      <w:r w:rsidR="00F6092B">
        <w:t xml:space="preserve">runs a daily process to identify these </w:t>
      </w:r>
      <w:r w:rsidR="00D76167">
        <w:t xml:space="preserve">DMR non-receipt </w:t>
      </w:r>
      <w:r w:rsidR="00442C43">
        <w:t>violations.</w:t>
      </w:r>
    </w:p>
    <w:p w14:paraId="166F1F76" w14:textId="77777777" w:rsidR="00C41231" w:rsidRDefault="00C41231" w:rsidP="00C41231">
      <w:pPr>
        <w:spacing w:after="0" w:line="240" w:lineRule="auto"/>
      </w:pPr>
    </w:p>
    <w:p w14:paraId="0D77D879" w14:textId="6B96B00B" w:rsidR="00C41231" w:rsidRDefault="00F6092B" w:rsidP="00C41231">
      <w:pPr>
        <w:spacing w:after="0" w:line="240" w:lineRule="auto"/>
      </w:pPr>
      <w:r>
        <w:t xml:space="preserve">In particular, </w:t>
      </w:r>
      <w:r w:rsidR="00BC6BE9" w:rsidRPr="00BC6BE9">
        <w:t>ICIS-NPDES</w:t>
      </w:r>
      <w:r w:rsidR="00BC6BE9">
        <w:t xml:space="preserve"> </w:t>
      </w:r>
      <w:r w:rsidR="0033260A">
        <w:t xml:space="preserve">automatically </w:t>
      </w:r>
      <w:r w:rsidR="00BC6BE9">
        <w:t>identif</w:t>
      </w:r>
      <w:r w:rsidR="007A30AB">
        <w:t>ies</w:t>
      </w:r>
      <w:r w:rsidR="00BC6BE9">
        <w:t xml:space="preserve"> a </w:t>
      </w:r>
      <w:r>
        <w:t xml:space="preserve">permittee classified as a “non-major” (a.k.a. “minor”) </w:t>
      </w:r>
      <w:r w:rsidR="00B664E5">
        <w:t xml:space="preserve">as having </w:t>
      </w:r>
      <w:r w:rsidR="003603F9">
        <w:t xml:space="preserve">one or more </w:t>
      </w:r>
      <w:r w:rsidR="00B664E5">
        <w:t>DMR non-receipt violation</w:t>
      </w:r>
      <w:r w:rsidR="003603F9">
        <w:t>s</w:t>
      </w:r>
      <w:r w:rsidR="000B094C">
        <w:t xml:space="preserve">, </w:t>
      </w:r>
      <w:r w:rsidR="0033260A">
        <w:t xml:space="preserve">even in cases where a state </w:t>
      </w:r>
      <w:r w:rsidR="00B664E5">
        <w:t>receives</w:t>
      </w:r>
      <w:r w:rsidR="003603F9">
        <w:t xml:space="preserve"> the</w:t>
      </w:r>
      <w:r w:rsidR="00B664E5">
        <w:t xml:space="preserve"> DMR </w:t>
      </w:r>
      <w:r w:rsidR="003603F9">
        <w:t xml:space="preserve">data </w:t>
      </w:r>
      <w:r w:rsidR="00B664E5">
        <w:t>from a non-major</w:t>
      </w:r>
      <w:r w:rsidR="003603F9">
        <w:t xml:space="preserve"> permittee</w:t>
      </w:r>
      <w:r w:rsidR="00B664E5">
        <w:t xml:space="preserve"> </w:t>
      </w:r>
      <w:r w:rsidR="0033260A">
        <w:t>but the state</w:t>
      </w:r>
      <w:r w:rsidR="00B664E5">
        <w:t xml:space="preserve"> </w:t>
      </w:r>
      <w:r w:rsidR="00D76167">
        <w:t xml:space="preserve">does </w:t>
      </w:r>
      <w:r w:rsidR="00B664E5">
        <w:t xml:space="preserve">not </w:t>
      </w:r>
      <w:r w:rsidR="00BC6BE9">
        <w:t>share th</w:t>
      </w:r>
      <w:r w:rsidR="00025AC4">
        <w:t>e</w:t>
      </w:r>
      <w:r w:rsidR="003603F9">
        <w:t>s</w:t>
      </w:r>
      <w:r w:rsidR="00025AC4">
        <w:t>e</w:t>
      </w:r>
      <w:r w:rsidR="00BC6BE9">
        <w:t xml:space="preserve"> DMR data with ICIS-NPDES. </w:t>
      </w:r>
      <w:r w:rsidR="007C4804" w:rsidRPr="007C4804">
        <w:t>The previous</w:t>
      </w:r>
      <w:r w:rsidR="003603F9">
        <w:t xml:space="preserve"> EPA NPDES</w:t>
      </w:r>
      <w:r w:rsidR="007C4804" w:rsidRPr="007C4804">
        <w:t xml:space="preserve"> data sharing policy, </w:t>
      </w:r>
      <w:r>
        <w:t xml:space="preserve">1985 </w:t>
      </w:r>
      <w:r w:rsidR="007C4804" w:rsidRPr="007C4804">
        <w:t xml:space="preserve">WENDB, only required authorized NPDES programs to share DMR data </w:t>
      </w:r>
      <w:r>
        <w:t xml:space="preserve">with EPA for </w:t>
      </w:r>
      <w:r w:rsidR="007C4804" w:rsidRPr="007C4804">
        <w:t>DMR filers</w:t>
      </w:r>
      <w:r>
        <w:t xml:space="preserve"> classified as “major</w:t>
      </w:r>
      <w:r w:rsidR="007C4804" w:rsidRPr="007C4804">
        <w:t>.</w:t>
      </w:r>
      <w:r>
        <w:t>”</w:t>
      </w:r>
      <w:r w:rsidR="007C4804">
        <w:t xml:space="preserve"> </w:t>
      </w:r>
      <w:r w:rsidR="00CC7755">
        <w:t xml:space="preserve">The </w:t>
      </w:r>
      <w:r w:rsidR="007B353C">
        <w:t xml:space="preserve">2015 </w:t>
      </w:r>
      <w:r w:rsidR="00CC7755">
        <w:t xml:space="preserve">NPDES Electronic Reporting Rule requires states to share all DMR data (majors and non-majors) with EPA. See 40 CFR </w:t>
      </w:r>
      <w:r w:rsidR="00CC7755" w:rsidRPr="00CC7755">
        <w:t>127.23</w:t>
      </w:r>
      <w:r w:rsidR="00CC7755">
        <w:t xml:space="preserve">. </w:t>
      </w:r>
    </w:p>
    <w:p w14:paraId="3F8AC0F8" w14:textId="77777777" w:rsidR="00C41231" w:rsidRDefault="00C41231" w:rsidP="00C41231">
      <w:pPr>
        <w:spacing w:after="0" w:line="240" w:lineRule="auto"/>
      </w:pPr>
    </w:p>
    <w:p w14:paraId="029F9A70" w14:textId="77777777" w:rsidR="00C41231" w:rsidRDefault="00442C43" w:rsidP="00C41231">
      <w:pPr>
        <w:spacing w:after="0" w:line="240" w:lineRule="auto"/>
      </w:pPr>
      <w:r>
        <w:t xml:space="preserve">ICIS-NPDES </w:t>
      </w:r>
      <w:r w:rsidR="003603F9">
        <w:t xml:space="preserve">uses these </w:t>
      </w:r>
      <w:r w:rsidR="003603F9" w:rsidRPr="003603F9">
        <w:t xml:space="preserve">DMR non-receipt </w:t>
      </w:r>
      <w:r w:rsidR="00FC47B5">
        <w:t>V</w:t>
      </w:r>
      <w:r w:rsidR="003603F9" w:rsidRPr="003603F9">
        <w:t>iolation</w:t>
      </w:r>
      <w:r w:rsidR="00FC47B5">
        <w:t xml:space="preserve"> code</w:t>
      </w:r>
      <w:r w:rsidR="003603F9" w:rsidRPr="003603F9">
        <w:t>s</w:t>
      </w:r>
      <w:r w:rsidR="003603F9">
        <w:t xml:space="preserve"> (D80 </w:t>
      </w:r>
      <w:r w:rsidR="00395A44">
        <w:t>or</w:t>
      </w:r>
      <w:r w:rsidR="003603F9">
        <w:t xml:space="preserve"> D90) to </w:t>
      </w:r>
      <w:r w:rsidR="00CD5188">
        <w:t xml:space="preserve">generate </w:t>
      </w:r>
      <w:r w:rsidR="00FC47B5">
        <w:t>“</w:t>
      </w:r>
      <w:r w:rsidR="003603F9">
        <w:t>RNC Detection</w:t>
      </w:r>
      <w:r w:rsidR="00FC47B5">
        <w:t>”</w:t>
      </w:r>
      <w:r w:rsidR="003603F9">
        <w:t xml:space="preserve"> </w:t>
      </w:r>
      <w:r w:rsidR="00395A44">
        <w:t>c</w:t>
      </w:r>
      <w:r w:rsidR="003603F9">
        <w:t>ode</w:t>
      </w:r>
      <w:r w:rsidR="00CD5188">
        <w:t>s</w:t>
      </w:r>
      <w:r w:rsidR="003603F9">
        <w:t xml:space="preserve"> </w:t>
      </w:r>
      <w:r w:rsidR="00CD5188">
        <w:t xml:space="preserve">[e.g., Non-monthly average DMR value was 30 days overdue (=”K”), DMR monthly average value was 30 days overdue or scheduled report was 30 days overdue (=”N”)]. ICIS-NPDES uses </w:t>
      </w:r>
      <w:r w:rsidR="00395A44">
        <w:t>“</w:t>
      </w:r>
      <w:r w:rsidR="00FC47B5">
        <w:t>RNC Resolution” c</w:t>
      </w:r>
      <w:r w:rsidR="00CD5188" w:rsidRPr="00CD5188">
        <w:t xml:space="preserve">odes </w:t>
      </w:r>
      <w:r w:rsidR="00CD5188">
        <w:t>to classify the resolution status of these violations</w:t>
      </w:r>
      <w:r w:rsidR="00634487">
        <w:t xml:space="preserve"> </w:t>
      </w:r>
      <w:r w:rsidR="00634487" w:rsidRPr="00634487">
        <w:t xml:space="preserve">(i.e., noncompliant, resolved pending, </w:t>
      </w:r>
      <w:r w:rsidR="00634487">
        <w:t xml:space="preserve">or </w:t>
      </w:r>
      <w:r w:rsidR="00634487" w:rsidRPr="00634487">
        <w:t>resolved)</w:t>
      </w:r>
      <w:r w:rsidR="00CD5188">
        <w:t xml:space="preserve">. </w:t>
      </w:r>
      <w:r w:rsidR="00D76167">
        <w:t xml:space="preserve">These RNC Resolution codes can be created automatically by ICIS-NPDES or </w:t>
      </w:r>
      <w:r w:rsidR="00C536FF">
        <w:t xml:space="preserve">be </w:t>
      </w:r>
      <w:r w:rsidR="00D76167">
        <w:t>manually entered by an ICIS-NPDES user.</w:t>
      </w:r>
    </w:p>
    <w:p w14:paraId="1EBCDC41" w14:textId="77777777" w:rsidR="00C41231" w:rsidRDefault="00C41231" w:rsidP="00C41231">
      <w:pPr>
        <w:spacing w:after="0" w:line="240" w:lineRule="auto"/>
      </w:pPr>
    </w:p>
    <w:p w14:paraId="17B2B641" w14:textId="5A46AA60" w:rsidR="00C430C7" w:rsidRDefault="00395A44" w:rsidP="00C41231">
      <w:pPr>
        <w:spacing w:after="0" w:line="240" w:lineRule="auto"/>
      </w:pPr>
      <w:r>
        <w:t>ICIS-NPDES uses Vio</w:t>
      </w:r>
      <w:r w:rsidR="00FC47B5">
        <w:t>lation code</w:t>
      </w:r>
      <w:r w:rsidR="00D76167">
        <w:t>s</w:t>
      </w:r>
      <w:r w:rsidR="00FC47B5">
        <w:t>, RNC Detection code</w:t>
      </w:r>
      <w:r w:rsidR="00D76167">
        <w:t>s</w:t>
      </w:r>
      <w:r w:rsidR="00FC47B5">
        <w:t xml:space="preserve">, and </w:t>
      </w:r>
      <w:r>
        <w:t xml:space="preserve">RNC Resolution </w:t>
      </w:r>
      <w:r w:rsidR="00FC47B5">
        <w:t>c</w:t>
      </w:r>
      <w:r>
        <w:t>ode</w:t>
      </w:r>
      <w:r w:rsidR="00D76167">
        <w:t>s</w:t>
      </w:r>
      <w:r w:rsidR="00FC47B5">
        <w:t xml:space="preserve"> to create a single </w:t>
      </w:r>
      <w:r w:rsidR="00E25CDA">
        <w:t xml:space="preserve">compliance </w:t>
      </w:r>
      <w:r w:rsidR="00FC47B5">
        <w:t xml:space="preserve">status code for each permittee for each FY Quarter. This single </w:t>
      </w:r>
      <w:r w:rsidR="00E25CDA">
        <w:t xml:space="preserve">compliance </w:t>
      </w:r>
      <w:r w:rsidR="00FC47B5">
        <w:t xml:space="preserve">status code, updated quarterly, is called the </w:t>
      </w:r>
      <w:r w:rsidR="00C430C7">
        <w:t>“</w:t>
      </w:r>
      <w:r w:rsidR="00B612A0">
        <w:t>RNC</w:t>
      </w:r>
      <w:r w:rsidR="00442C43">
        <w:t xml:space="preserve"> Status</w:t>
      </w:r>
      <w:r w:rsidR="00577608">
        <w:t xml:space="preserve">” </w:t>
      </w:r>
      <w:r w:rsidR="00442C43">
        <w:t>code</w:t>
      </w:r>
      <w:r w:rsidR="00C430C7">
        <w:t xml:space="preserve">. </w:t>
      </w:r>
      <w:r w:rsidR="0033260A" w:rsidRPr="0033260A">
        <w:t xml:space="preserve">ICIS-NPDES </w:t>
      </w:r>
      <w:r w:rsidR="0033260A">
        <w:t xml:space="preserve">generates this </w:t>
      </w:r>
      <w:r w:rsidR="00E25CDA">
        <w:t xml:space="preserve">compliance status </w:t>
      </w:r>
      <w:r w:rsidR="0033260A">
        <w:t xml:space="preserve">code </w:t>
      </w:r>
      <w:r w:rsidR="00B74828">
        <w:t xml:space="preserve">approximately </w:t>
      </w:r>
      <w:r w:rsidR="0033260A" w:rsidRPr="0033260A">
        <w:t xml:space="preserve">2 </w:t>
      </w:r>
      <w:r w:rsidR="0033260A">
        <w:t xml:space="preserve">½ </w:t>
      </w:r>
      <w:r w:rsidR="0033260A" w:rsidRPr="0033260A">
        <w:t>months after the quarter has ended</w:t>
      </w:r>
      <w:r w:rsidR="00C430C7">
        <w:t xml:space="preserve"> and ECHO uses this code to </w:t>
      </w:r>
      <w:r w:rsidR="00D76167">
        <w:t xml:space="preserve">show the permittee’s </w:t>
      </w:r>
      <w:r w:rsidR="00C430C7">
        <w:t>compliance status</w:t>
      </w:r>
      <w:r w:rsidR="00D76167">
        <w:t xml:space="preserve"> for each FY Quarter</w:t>
      </w:r>
      <w:r w:rsidR="0033260A" w:rsidRPr="0033260A">
        <w:t xml:space="preserve">. </w:t>
      </w:r>
      <w:r w:rsidR="00C430C7" w:rsidRPr="00C430C7">
        <w:t xml:space="preserve">The </w:t>
      </w:r>
      <w:r w:rsidR="00350A38">
        <w:t xml:space="preserve">hierarchy </w:t>
      </w:r>
      <w:r w:rsidR="00C430C7" w:rsidRPr="00C430C7">
        <w:t xml:space="preserve">of </w:t>
      </w:r>
      <w:r w:rsidR="00C430C7">
        <w:t xml:space="preserve">the </w:t>
      </w:r>
      <w:r w:rsidR="00B612A0">
        <w:t>“RNC</w:t>
      </w:r>
      <w:r w:rsidR="00C430C7" w:rsidRPr="00C430C7">
        <w:t xml:space="preserve"> Status” code is shown </w:t>
      </w:r>
      <w:r w:rsidR="00B612A0">
        <w:t xml:space="preserve">in the table </w:t>
      </w:r>
      <w:r w:rsidR="00C430C7" w:rsidRPr="00C430C7">
        <w:t>below.</w:t>
      </w:r>
    </w:p>
    <w:p w14:paraId="7167196F" w14:textId="77777777" w:rsidR="00442C43" w:rsidRDefault="00442C43" w:rsidP="00C430C7">
      <w:pPr>
        <w:spacing w:after="0" w:line="240" w:lineRule="auto"/>
      </w:pPr>
    </w:p>
    <w:p w14:paraId="1B47A1A6" w14:textId="03575751" w:rsidR="00442C43" w:rsidRPr="00B612A0" w:rsidRDefault="00B612A0" w:rsidP="00B612A0">
      <w:pPr>
        <w:spacing w:after="0" w:line="240" w:lineRule="auto"/>
      </w:pPr>
      <w:r>
        <w:rPr>
          <w:b/>
        </w:rPr>
        <w:t xml:space="preserve">Table A1-1: </w:t>
      </w:r>
      <w:r w:rsidR="00350A38" w:rsidRPr="00B612A0">
        <w:t xml:space="preserve">Hierarchy of </w:t>
      </w:r>
      <w:r w:rsidRPr="00B612A0">
        <w:t xml:space="preserve">System Generated </w:t>
      </w:r>
      <w:r w:rsidR="0037602F" w:rsidRPr="00B612A0">
        <w:t xml:space="preserve">Permit </w:t>
      </w:r>
      <w:r w:rsidRPr="00B612A0">
        <w:t xml:space="preserve">RNC </w:t>
      </w:r>
      <w:r w:rsidR="0037602F" w:rsidRPr="00B612A0">
        <w:t>Status Codes in ICIS–NPDES</w:t>
      </w:r>
    </w:p>
    <w:p w14:paraId="26112D8E" w14:textId="77777777" w:rsidR="00442C43" w:rsidRDefault="00442C43" w:rsidP="00442C43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2250"/>
        <w:gridCol w:w="1170"/>
        <w:gridCol w:w="5035"/>
      </w:tblGrid>
      <w:tr w:rsidR="00442C43" w14:paraId="5B162420" w14:textId="77777777" w:rsidTr="007B353C">
        <w:trPr>
          <w:cantSplit/>
          <w:tblHeader/>
        </w:trPr>
        <w:tc>
          <w:tcPr>
            <w:tcW w:w="900" w:type="dxa"/>
            <w:shd w:val="pct10" w:color="auto" w:fill="auto"/>
          </w:tcPr>
          <w:p w14:paraId="7C0D68AA" w14:textId="77777777" w:rsidR="00442C43" w:rsidRPr="00C23737" w:rsidRDefault="00442C43" w:rsidP="00B612A0">
            <w:pPr>
              <w:pStyle w:val="ListParagraph"/>
              <w:ind w:left="0"/>
              <w:jc w:val="center"/>
              <w:rPr>
                <w:b/>
              </w:rPr>
            </w:pPr>
            <w:r w:rsidRPr="00C23737">
              <w:rPr>
                <w:b/>
              </w:rPr>
              <w:t>Code</w:t>
            </w:r>
          </w:p>
        </w:tc>
        <w:tc>
          <w:tcPr>
            <w:tcW w:w="2250" w:type="dxa"/>
            <w:shd w:val="pct10" w:color="auto" w:fill="auto"/>
          </w:tcPr>
          <w:p w14:paraId="297537EC" w14:textId="77777777" w:rsidR="00442C43" w:rsidRPr="00C23737" w:rsidRDefault="00442C43" w:rsidP="00DE6E3E">
            <w:pPr>
              <w:pStyle w:val="ListParagraph"/>
              <w:ind w:left="0"/>
              <w:jc w:val="center"/>
              <w:rPr>
                <w:b/>
              </w:rPr>
            </w:pPr>
            <w:r w:rsidRPr="00C23737">
              <w:rPr>
                <w:b/>
              </w:rPr>
              <w:t>Status</w:t>
            </w:r>
          </w:p>
        </w:tc>
        <w:tc>
          <w:tcPr>
            <w:tcW w:w="1170" w:type="dxa"/>
            <w:shd w:val="pct10" w:color="auto" w:fill="auto"/>
          </w:tcPr>
          <w:p w14:paraId="10EF1D72" w14:textId="77777777" w:rsidR="00442C43" w:rsidRPr="00C23737" w:rsidRDefault="00442C43" w:rsidP="00B612A0">
            <w:pPr>
              <w:pStyle w:val="ListParagraph"/>
              <w:ind w:left="0"/>
              <w:jc w:val="center"/>
              <w:rPr>
                <w:b/>
              </w:rPr>
            </w:pPr>
            <w:r w:rsidRPr="00C23737">
              <w:rPr>
                <w:b/>
              </w:rPr>
              <w:t>RNC/SNC</w:t>
            </w:r>
          </w:p>
        </w:tc>
        <w:tc>
          <w:tcPr>
            <w:tcW w:w="5035" w:type="dxa"/>
            <w:shd w:val="pct10" w:color="auto" w:fill="auto"/>
          </w:tcPr>
          <w:p w14:paraId="4049678B" w14:textId="77777777" w:rsidR="00442C43" w:rsidRPr="00C23737" w:rsidRDefault="00442C43" w:rsidP="00DE6E3E">
            <w:pPr>
              <w:pStyle w:val="ListParagraph"/>
              <w:ind w:left="0"/>
              <w:rPr>
                <w:b/>
              </w:rPr>
            </w:pPr>
            <w:r w:rsidRPr="00C23737">
              <w:rPr>
                <w:b/>
              </w:rPr>
              <w:t>Description</w:t>
            </w:r>
          </w:p>
        </w:tc>
      </w:tr>
      <w:tr w:rsidR="00442C43" w14:paraId="21AC9E0B" w14:textId="77777777" w:rsidTr="007B353C">
        <w:trPr>
          <w:cantSplit/>
        </w:trPr>
        <w:tc>
          <w:tcPr>
            <w:tcW w:w="900" w:type="dxa"/>
            <w:vAlign w:val="center"/>
          </w:tcPr>
          <w:p w14:paraId="7B74B74A" w14:textId="77777777" w:rsidR="00442C43" w:rsidRDefault="00442C43" w:rsidP="00B612A0">
            <w:pPr>
              <w:pStyle w:val="ListParagraph"/>
              <w:ind w:left="0"/>
              <w:jc w:val="center"/>
            </w:pPr>
            <w:r>
              <w:t>S</w:t>
            </w:r>
          </w:p>
        </w:tc>
        <w:tc>
          <w:tcPr>
            <w:tcW w:w="2250" w:type="dxa"/>
            <w:vAlign w:val="center"/>
          </w:tcPr>
          <w:p w14:paraId="47A87FA7" w14:textId="77777777" w:rsidR="00442C43" w:rsidRDefault="00442C43" w:rsidP="00DE6E3E">
            <w:pPr>
              <w:pStyle w:val="ListParagraph"/>
              <w:ind w:left="0"/>
              <w:jc w:val="center"/>
            </w:pPr>
            <w:r w:rsidRPr="00C23737">
              <w:t>Noncompliant</w:t>
            </w:r>
          </w:p>
        </w:tc>
        <w:tc>
          <w:tcPr>
            <w:tcW w:w="1170" w:type="dxa"/>
            <w:vAlign w:val="center"/>
          </w:tcPr>
          <w:p w14:paraId="2636078E" w14:textId="77777777" w:rsidR="00442C43" w:rsidRDefault="00442C43" w:rsidP="00B612A0">
            <w:pPr>
              <w:pStyle w:val="ListParagraph"/>
              <w:ind w:left="0"/>
              <w:jc w:val="center"/>
            </w:pPr>
            <w:r w:rsidRPr="00C23737">
              <w:t>SNC</w:t>
            </w:r>
          </w:p>
        </w:tc>
        <w:tc>
          <w:tcPr>
            <w:tcW w:w="5035" w:type="dxa"/>
            <w:vAlign w:val="center"/>
          </w:tcPr>
          <w:p w14:paraId="01CC9CEB" w14:textId="77777777" w:rsidR="00442C43" w:rsidRDefault="00442C43" w:rsidP="00DE6E3E">
            <w:pPr>
              <w:pStyle w:val="ListParagraph"/>
              <w:ind w:left="0"/>
            </w:pPr>
            <w:r w:rsidRPr="00C23737">
              <w:t>SNC for Unachieved Schedule Milestone Violation</w:t>
            </w:r>
          </w:p>
        </w:tc>
      </w:tr>
      <w:tr w:rsidR="00442C43" w14:paraId="04463D2C" w14:textId="77777777" w:rsidTr="007B353C">
        <w:trPr>
          <w:cantSplit/>
        </w:trPr>
        <w:tc>
          <w:tcPr>
            <w:tcW w:w="900" w:type="dxa"/>
            <w:vAlign w:val="center"/>
          </w:tcPr>
          <w:p w14:paraId="7637C817" w14:textId="77777777" w:rsidR="00442C43" w:rsidRDefault="00442C43" w:rsidP="00B612A0">
            <w:pPr>
              <w:pStyle w:val="ListParagraph"/>
              <w:ind w:left="0"/>
              <w:jc w:val="center"/>
            </w:pPr>
            <w:r>
              <w:t>E</w:t>
            </w:r>
          </w:p>
        </w:tc>
        <w:tc>
          <w:tcPr>
            <w:tcW w:w="2250" w:type="dxa"/>
            <w:vAlign w:val="center"/>
          </w:tcPr>
          <w:p w14:paraId="5503FEC2" w14:textId="77777777" w:rsidR="00442C43" w:rsidRDefault="00442C43" w:rsidP="00DE6E3E">
            <w:pPr>
              <w:pStyle w:val="ListParagraph"/>
              <w:ind w:left="0"/>
              <w:jc w:val="center"/>
            </w:pPr>
            <w:r w:rsidRPr="00C23737">
              <w:t>Noncompliant</w:t>
            </w:r>
          </w:p>
        </w:tc>
        <w:tc>
          <w:tcPr>
            <w:tcW w:w="1170" w:type="dxa"/>
            <w:vAlign w:val="center"/>
          </w:tcPr>
          <w:p w14:paraId="1551419B" w14:textId="77777777" w:rsidR="00442C43" w:rsidRDefault="00442C43" w:rsidP="00B612A0">
            <w:pPr>
              <w:pStyle w:val="ListParagraph"/>
              <w:ind w:left="0"/>
              <w:jc w:val="center"/>
            </w:pPr>
            <w:r w:rsidRPr="00C23737">
              <w:t>SNC</w:t>
            </w:r>
          </w:p>
        </w:tc>
        <w:tc>
          <w:tcPr>
            <w:tcW w:w="5035" w:type="dxa"/>
            <w:vAlign w:val="center"/>
          </w:tcPr>
          <w:p w14:paraId="694E84B7" w14:textId="77777777" w:rsidR="00442C43" w:rsidRDefault="00442C43" w:rsidP="00DE6E3E">
            <w:r>
              <w:t>SNC for Monthly (e.g., 30-Day Average/Daily Average) Effluent Violation</w:t>
            </w:r>
          </w:p>
        </w:tc>
      </w:tr>
      <w:tr w:rsidR="00442C43" w14:paraId="1A1E195E" w14:textId="77777777" w:rsidTr="007B353C">
        <w:trPr>
          <w:cantSplit/>
        </w:trPr>
        <w:tc>
          <w:tcPr>
            <w:tcW w:w="900" w:type="dxa"/>
            <w:vAlign w:val="center"/>
          </w:tcPr>
          <w:p w14:paraId="15A5688D" w14:textId="77777777" w:rsidR="00442C43" w:rsidRDefault="00442C43" w:rsidP="00B612A0">
            <w:pPr>
              <w:pStyle w:val="ListParagraph"/>
              <w:ind w:left="0"/>
              <w:jc w:val="center"/>
            </w:pPr>
            <w:r>
              <w:t>X</w:t>
            </w:r>
          </w:p>
        </w:tc>
        <w:tc>
          <w:tcPr>
            <w:tcW w:w="2250" w:type="dxa"/>
            <w:vAlign w:val="center"/>
          </w:tcPr>
          <w:p w14:paraId="05A8991B" w14:textId="77777777" w:rsidR="00442C43" w:rsidRDefault="00442C43" w:rsidP="00DE6E3E">
            <w:pPr>
              <w:pStyle w:val="ListParagraph"/>
              <w:ind w:left="0"/>
              <w:jc w:val="center"/>
            </w:pPr>
            <w:r w:rsidRPr="00C23737">
              <w:t>Noncompliant</w:t>
            </w:r>
          </w:p>
        </w:tc>
        <w:tc>
          <w:tcPr>
            <w:tcW w:w="1170" w:type="dxa"/>
            <w:vAlign w:val="center"/>
          </w:tcPr>
          <w:p w14:paraId="300656E8" w14:textId="77777777" w:rsidR="00442C43" w:rsidRDefault="00442C43" w:rsidP="00B612A0">
            <w:pPr>
              <w:pStyle w:val="ListParagraph"/>
              <w:ind w:left="0"/>
              <w:jc w:val="center"/>
            </w:pPr>
            <w:r w:rsidRPr="00C23737">
              <w:t>SNC</w:t>
            </w:r>
          </w:p>
        </w:tc>
        <w:tc>
          <w:tcPr>
            <w:tcW w:w="5035" w:type="dxa"/>
            <w:vAlign w:val="center"/>
          </w:tcPr>
          <w:p w14:paraId="7E40E1A9" w14:textId="77777777" w:rsidR="00442C43" w:rsidRDefault="00442C43" w:rsidP="00DE6E3E">
            <w:r>
              <w:t>SNC for Non-Monthly (e.g., 7-Day Average/Daily Maximum) Effluent Violation</w:t>
            </w:r>
          </w:p>
        </w:tc>
      </w:tr>
      <w:tr w:rsidR="00442C43" w14:paraId="571C42B4" w14:textId="77777777" w:rsidTr="007B353C">
        <w:trPr>
          <w:cantSplit/>
        </w:trPr>
        <w:tc>
          <w:tcPr>
            <w:tcW w:w="900" w:type="dxa"/>
            <w:vAlign w:val="center"/>
          </w:tcPr>
          <w:p w14:paraId="0FBFE020" w14:textId="77777777" w:rsidR="00442C43" w:rsidRDefault="00442C43" w:rsidP="00B612A0">
            <w:pPr>
              <w:pStyle w:val="ListParagraph"/>
              <w:ind w:left="0"/>
              <w:jc w:val="center"/>
            </w:pPr>
            <w:r>
              <w:t>T</w:t>
            </w:r>
          </w:p>
        </w:tc>
        <w:tc>
          <w:tcPr>
            <w:tcW w:w="2250" w:type="dxa"/>
            <w:vAlign w:val="center"/>
          </w:tcPr>
          <w:p w14:paraId="4F05EF36" w14:textId="77777777" w:rsidR="00442C43" w:rsidRDefault="00442C43" w:rsidP="00DE6E3E">
            <w:pPr>
              <w:pStyle w:val="ListParagraph"/>
              <w:ind w:left="0"/>
              <w:jc w:val="center"/>
            </w:pPr>
            <w:r w:rsidRPr="00C23737">
              <w:t>Noncompliant</w:t>
            </w:r>
          </w:p>
        </w:tc>
        <w:tc>
          <w:tcPr>
            <w:tcW w:w="1170" w:type="dxa"/>
            <w:vAlign w:val="center"/>
          </w:tcPr>
          <w:p w14:paraId="31B6BE50" w14:textId="77777777" w:rsidR="00442C43" w:rsidRDefault="00442C43" w:rsidP="00B612A0">
            <w:pPr>
              <w:pStyle w:val="ListParagraph"/>
              <w:ind w:left="0"/>
              <w:jc w:val="center"/>
            </w:pPr>
            <w:r w:rsidRPr="00C23737">
              <w:t>SNC</w:t>
            </w:r>
          </w:p>
        </w:tc>
        <w:tc>
          <w:tcPr>
            <w:tcW w:w="5035" w:type="dxa"/>
            <w:vAlign w:val="center"/>
          </w:tcPr>
          <w:p w14:paraId="4AAFD8C8" w14:textId="61A81023" w:rsidR="00442C43" w:rsidRDefault="00442C43" w:rsidP="000B094C">
            <w:r>
              <w:t xml:space="preserve">SNC for </w:t>
            </w:r>
            <w:r w:rsidR="000B094C" w:rsidRPr="000B094C">
              <w:t xml:space="preserve">Pretreatment </w:t>
            </w:r>
            <w:r w:rsidR="000B094C">
              <w:t xml:space="preserve">Program </w:t>
            </w:r>
            <w:r w:rsidR="000B094C" w:rsidRPr="000B094C">
              <w:t>Report</w:t>
            </w:r>
            <w:r w:rsidR="000B094C">
              <w:t xml:space="preserve"> Non-Receipt Violation</w:t>
            </w:r>
          </w:p>
        </w:tc>
      </w:tr>
      <w:tr w:rsidR="00442C43" w14:paraId="2F4F6C33" w14:textId="77777777" w:rsidTr="007B353C">
        <w:trPr>
          <w:cantSplit/>
        </w:trPr>
        <w:tc>
          <w:tcPr>
            <w:tcW w:w="900" w:type="dxa"/>
            <w:vAlign w:val="center"/>
          </w:tcPr>
          <w:p w14:paraId="7237C941" w14:textId="77777777" w:rsidR="00442C43" w:rsidRDefault="00442C43" w:rsidP="00B612A0">
            <w:pPr>
              <w:pStyle w:val="ListParagraph"/>
              <w:ind w:left="0"/>
              <w:jc w:val="center"/>
            </w:pPr>
            <w:r>
              <w:t>D</w:t>
            </w:r>
          </w:p>
        </w:tc>
        <w:tc>
          <w:tcPr>
            <w:tcW w:w="2250" w:type="dxa"/>
            <w:vAlign w:val="center"/>
          </w:tcPr>
          <w:p w14:paraId="6130C8F5" w14:textId="77777777" w:rsidR="00442C43" w:rsidRDefault="00442C43" w:rsidP="00DE6E3E">
            <w:pPr>
              <w:pStyle w:val="ListParagraph"/>
              <w:ind w:left="0"/>
              <w:jc w:val="center"/>
            </w:pPr>
            <w:r w:rsidRPr="00C23737">
              <w:t>Noncompliant</w:t>
            </w:r>
          </w:p>
        </w:tc>
        <w:tc>
          <w:tcPr>
            <w:tcW w:w="1170" w:type="dxa"/>
            <w:vAlign w:val="center"/>
          </w:tcPr>
          <w:p w14:paraId="279A5312" w14:textId="77777777" w:rsidR="00442C43" w:rsidRDefault="00442C43" w:rsidP="00B612A0">
            <w:pPr>
              <w:pStyle w:val="ListParagraph"/>
              <w:ind w:left="0"/>
              <w:jc w:val="center"/>
            </w:pPr>
            <w:r>
              <w:t>SNC</w:t>
            </w:r>
          </w:p>
        </w:tc>
        <w:tc>
          <w:tcPr>
            <w:tcW w:w="5035" w:type="dxa"/>
            <w:vAlign w:val="center"/>
          </w:tcPr>
          <w:p w14:paraId="66719AE0" w14:textId="77777777" w:rsidR="00442C43" w:rsidRDefault="00442C43" w:rsidP="00DE6E3E">
            <w:pPr>
              <w:pStyle w:val="ListParagraph"/>
              <w:ind w:left="0"/>
            </w:pPr>
            <w:r w:rsidRPr="00C23737">
              <w:t>SNC for DMR Non-Receipt Violation</w:t>
            </w:r>
          </w:p>
        </w:tc>
      </w:tr>
      <w:tr w:rsidR="00442C43" w14:paraId="548FEA36" w14:textId="77777777" w:rsidTr="007B353C">
        <w:trPr>
          <w:cantSplit/>
        </w:trPr>
        <w:tc>
          <w:tcPr>
            <w:tcW w:w="900" w:type="dxa"/>
            <w:vAlign w:val="center"/>
          </w:tcPr>
          <w:p w14:paraId="14F6BECA" w14:textId="77777777" w:rsidR="00442C43" w:rsidRDefault="00442C43" w:rsidP="00B612A0">
            <w:pPr>
              <w:pStyle w:val="ListParagraph"/>
              <w:ind w:left="0"/>
              <w:jc w:val="center"/>
            </w:pPr>
            <w:r>
              <w:t>N</w:t>
            </w:r>
          </w:p>
        </w:tc>
        <w:tc>
          <w:tcPr>
            <w:tcW w:w="2250" w:type="dxa"/>
            <w:vAlign w:val="center"/>
          </w:tcPr>
          <w:p w14:paraId="59021230" w14:textId="77777777" w:rsidR="00442C43" w:rsidRDefault="00442C43" w:rsidP="00DE6E3E">
            <w:pPr>
              <w:pStyle w:val="ListParagraph"/>
              <w:ind w:left="0"/>
              <w:jc w:val="center"/>
            </w:pPr>
            <w:r w:rsidRPr="00C23737">
              <w:t>Noncompliant</w:t>
            </w:r>
          </w:p>
        </w:tc>
        <w:tc>
          <w:tcPr>
            <w:tcW w:w="1170" w:type="dxa"/>
            <w:vAlign w:val="center"/>
          </w:tcPr>
          <w:p w14:paraId="3F80AE3A" w14:textId="77777777" w:rsidR="00442C43" w:rsidRDefault="00442C43" w:rsidP="00B612A0">
            <w:pPr>
              <w:pStyle w:val="ListParagraph"/>
              <w:ind w:left="0"/>
              <w:jc w:val="center"/>
            </w:pPr>
            <w:r>
              <w:t>RNC</w:t>
            </w:r>
          </w:p>
        </w:tc>
        <w:tc>
          <w:tcPr>
            <w:tcW w:w="5035" w:type="dxa"/>
            <w:vAlign w:val="center"/>
          </w:tcPr>
          <w:p w14:paraId="46A8CB66" w14:textId="77777777" w:rsidR="00442C43" w:rsidRDefault="00442C43" w:rsidP="00DE6E3E">
            <w:pPr>
              <w:pStyle w:val="ListParagraph"/>
              <w:ind w:left="0"/>
            </w:pPr>
            <w:r w:rsidRPr="00C23737">
              <w:t>RNC for All Non-SNC Violations</w:t>
            </w:r>
          </w:p>
        </w:tc>
      </w:tr>
      <w:tr w:rsidR="00F75B7B" w14:paraId="541B7C3B" w14:textId="77777777" w:rsidTr="007B353C">
        <w:trPr>
          <w:cantSplit/>
        </w:trPr>
        <w:tc>
          <w:tcPr>
            <w:tcW w:w="900" w:type="dxa"/>
            <w:vAlign w:val="center"/>
          </w:tcPr>
          <w:p w14:paraId="266CDEC2" w14:textId="505AAAD8" w:rsidR="00F75B7B" w:rsidRDefault="00F75B7B" w:rsidP="00F75B7B">
            <w:pPr>
              <w:pStyle w:val="ListParagraph"/>
              <w:ind w:left="0"/>
              <w:jc w:val="center"/>
            </w:pPr>
            <w:r>
              <w:t>P</w:t>
            </w:r>
          </w:p>
        </w:tc>
        <w:tc>
          <w:tcPr>
            <w:tcW w:w="2250" w:type="dxa"/>
            <w:vAlign w:val="center"/>
          </w:tcPr>
          <w:p w14:paraId="39AA6DC0" w14:textId="415903E6" w:rsidR="00F75B7B" w:rsidRDefault="00F75B7B" w:rsidP="00F75B7B">
            <w:pPr>
              <w:jc w:val="center"/>
            </w:pPr>
            <w:r>
              <w:t>Resolved Pending</w:t>
            </w:r>
          </w:p>
        </w:tc>
        <w:tc>
          <w:tcPr>
            <w:tcW w:w="1170" w:type="dxa"/>
            <w:vAlign w:val="center"/>
          </w:tcPr>
          <w:p w14:paraId="5A413E35" w14:textId="0EF769D2" w:rsidR="00F75B7B" w:rsidRPr="00642713" w:rsidRDefault="00F75B7B" w:rsidP="00F75B7B">
            <w:pPr>
              <w:pStyle w:val="ListParagraph"/>
              <w:ind w:left="0"/>
              <w:jc w:val="center"/>
            </w:pPr>
            <w:r>
              <w:t>N/A</w:t>
            </w:r>
          </w:p>
        </w:tc>
        <w:tc>
          <w:tcPr>
            <w:tcW w:w="5035" w:type="dxa"/>
            <w:vAlign w:val="center"/>
          </w:tcPr>
          <w:p w14:paraId="13FC60D5" w14:textId="44A359E8" w:rsidR="00F75B7B" w:rsidRDefault="00F75B7B" w:rsidP="00F75B7B">
            <w:r>
              <w:t>Final Resolution Pending Compliance With Formal Enforcement Action Final Order</w:t>
            </w:r>
          </w:p>
        </w:tc>
      </w:tr>
      <w:tr w:rsidR="00F75B7B" w14:paraId="043B94A5" w14:textId="77777777" w:rsidTr="007B353C">
        <w:trPr>
          <w:cantSplit/>
        </w:trPr>
        <w:tc>
          <w:tcPr>
            <w:tcW w:w="900" w:type="dxa"/>
            <w:vAlign w:val="center"/>
          </w:tcPr>
          <w:p w14:paraId="01D74CCA" w14:textId="53C27A8C" w:rsidR="00F75B7B" w:rsidRDefault="00F75B7B" w:rsidP="00F75B7B">
            <w:pPr>
              <w:pStyle w:val="ListParagraph"/>
              <w:ind w:left="0"/>
              <w:jc w:val="center"/>
            </w:pPr>
            <w:r>
              <w:t>R</w:t>
            </w:r>
          </w:p>
        </w:tc>
        <w:tc>
          <w:tcPr>
            <w:tcW w:w="2250" w:type="dxa"/>
            <w:vAlign w:val="center"/>
          </w:tcPr>
          <w:p w14:paraId="3BA99203" w14:textId="66E42C51" w:rsidR="00F75B7B" w:rsidRDefault="00F75B7B" w:rsidP="00F75B7B">
            <w:pPr>
              <w:jc w:val="center"/>
            </w:pPr>
            <w:r>
              <w:t>Resolved</w:t>
            </w:r>
          </w:p>
        </w:tc>
        <w:tc>
          <w:tcPr>
            <w:tcW w:w="1170" w:type="dxa"/>
            <w:vAlign w:val="center"/>
          </w:tcPr>
          <w:p w14:paraId="73535282" w14:textId="5A850900" w:rsidR="00F75B7B" w:rsidRPr="00642713" w:rsidRDefault="00F75B7B" w:rsidP="00F75B7B">
            <w:pPr>
              <w:pStyle w:val="ListParagraph"/>
              <w:ind w:left="0"/>
              <w:jc w:val="center"/>
            </w:pPr>
            <w:r w:rsidRPr="00C23737">
              <w:t>N/A</w:t>
            </w:r>
          </w:p>
        </w:tc>
        <w:tc>
          <w:tcPr>
            <w:tcW w:w="5035" w:type="dxa"/>
            <w:vAlign w:val="center"/>
          </w:tcPr>
          <w:p w14:paraId="5E9138C4" w14:textId="3CB71C38" w:rsidR="00F75B7B" w:rsidRDefault="00F75B7B" w:rsidP="00F75B7B">
            <w:r w:rsidRPr="00C23737">
              <w:t>Final Resolution of Violations</w:t>
            </w:r>
          </w:p>
        </w:tc>
      </w:tr>
      <w:tr w:rsidR="00642713" w14:paraId="08D9C9AE" w14:textId="77777777" w:rsidTr="007B353C">
        <w:trPr>
          <w:cantSplit/>
        </w:trPr>
        <w:tc>
          <w:tcPr>
            <w:tcW w:w="900" w:type="dxa"/>
            <w:vAlign w:val="center"/>
          </w:tcPr>
          <w:p w14:paraId="3DCF2717" w14:textId="261AE0AB" w:rsidR="00642713" w:rsidRDefault="00642713" w:rsidP="00B612A0">
            <w:pPr>
              <w:pStyle w:val="ListParagraph"/>
              <w:ind w:left="0"/>
              <w:jc w:val="center"/>
            </w:pPr>
            <w:r>
              <w:lastRenderedPageBreak/>
              <w:t>V</w:t>
            </w:r>
          </w:p>
        </w:tc>
        <w:tc>
          <w:tcPr>
            <w:tcW w:w="2250" w:type="dxa"/>
            <w:vAlign w:val="center"/>
          </w:tcPr>
          <w:p w14:paraId="4F1B6F1A" w14:textId="6DC63FA3" w:rsidR="00642713" w:rsidRDefault="00642713" w:rsidP="00DE6E3E">
            <w:pPr>
              <w:jc w:val="center"/>
            </w:pPr>
            <w:r>
              <w:t>Noncompliant</w:t>
            </w:r>
          </w:p>
        </w:tc>
        <w:tc>
          <w:tcPr>
            <w:tcW w:w="1170" w:type="dxa"/>
            <w:vAlign w:val="center"/>
          </w:tcPr>
          <w:p w14:paraId="6A8218CD" w14:textId="00FC6549" w:rsidR="00642713" w:rsidRDefault="00642713" w:rsidP="00B612A0">
            <w:pPr>
              <w:pStyle w:val="ListParagraph"/>
              <w:ind w:left="0"/>
              <w:jc w:val="center"/>
            </w:pPr>
            <w:r w:rsidRPr="00642713">
              <w:t>N/A</w:t>
            </w:r>
          </w:p>
        </w:tc>
        <w:tc>
          <w:tcPr>
            <w:tcW w:w="5035" w:type="dxa"/>
            <w:vAlign w:val="center"/>
          </w:tcPr>
          <w:p w14:paraId="1BFE60F1" w14:textId="7F5C2343" w:rsidR="00642713" w:rsidRDefault="00F75B7B" w:rsidP="00F75B7B">
            <w:r w:rsidRPr="00F75B7B">
              <w:t>No</w:t>
            </w:r>
            <w:r>
              <w:t>n-RNC Violations in the Quarter. For example, t</w:t>
            </w:r>
            <w:r w:rsidR="00642713" w:rsidRPr="00642713">
              <w:t>he facility has effluent, compliance schedule, permit schedule, or single-event vi</w:t>
            </w:r>
            <w:r w:rsidR="00642713">
              <w:t>olations in the current quarter;</w:t>
            </w:r>
            <w:r w:rsidR="00642713" w:rsidRPr="00642713">
              <w:t xml:space="preserve"> however, is not considered to be in RNC or SNC.</w:t>
            </w:r>
          </w:p>
        </w:tc>
      </w:tr>
      <w:tr w:rsidR="005D1130" w14:paraId="162575D6" w14:textId="77777777" w:rsidTr="007B353C">
        <w:trPr>
          <w:cantSplit/>
        </w:trPr>
        <w:tc>
          <w:tcPr>
            <w:tcW w:w="900" w:type="dxa"/>
            <w:vAlign w:val="center"/>
          </w:tcPr>
          <w:p w14:paraId="160205AC" w14:textId="362652A8" w:rsidR="005D1130" w:rsidRDefault="005D1130" w:rsidP="00B612A0">
            <w:pPr>
              <w:pStyle w:val="ListParagraph"/>
              <w:ind w:left="0"/>
              <w:jc w:val="center"/>
            </w:pPr>
            <w:r>
              <w:t>U</w:t>
            </w:r>
          </w:p>
        </w:tc>
        <w:tc>
          <w:tcPr>
            <w:tcW w:w="2250" w:type="dxa"/>
            <w:vAlign w:val="center"/>
          </w:tcPr>
          <w:p w14:paraId="66A04650" w14:textId="773DCE8B" w:rsidR="005D1130" w:rsidRDefault="005D1130" w:rsidP="00DE6E3E">
            <w:pPr>
              <w:jc w:val="center"/>
            </w:pPr>
            <w:r>
              <w:t>Unknown</w:t>
            </w:r>
          </w:p>
        </w:tc>
        <w:tc>
          <w:tcPr>
            <w:tcW w:w="1170" w:type="dxa"/>
            <w:vAlign w:val="center"/>
          </w:tcPr>
          <w:p w14:paraId="2DB6590F" w14:textId="2B22B18B" w:rsidR="005D1130" w:rsidRPr="00577608" w:rsidRDefault="005D1130" w:rsidP="00B612A0">
            <w:pPr>
              <w:pStyle w:val="ListParagraph"/>
              <w:ind w:left="0"/>
              <w:jc w:val="center"/>
            </w:pPr>
            <w:r>
              <w:t>N/A</w:t>
            </w:r>
          </w:p>
        </w:tc>
        <w:tc>
          <w:tcPr>
            <w:tcW w:w="5035" w:type="dxa"/>
            <w:vAlign w:val="center"/>
          </w:tcPr>
          <w:p w14:paraId="478360CD" w14:textId="7C7C0D4C" w:rsidR="005D1130" w:rsidRPr="00577608" w:rsidRDefault="005D1130" w:rsidP="00DE6E3E">
            <w:r>
              <w:t>Unknown compliance status.</w:t>
            </w:r>
          </w:p>
        </w:tc>
      </w:tr>
      <w:tr w:rsidR="00442C43" w14:paraId="1019F5DF" w14:textId="77777777" w:rsidTr="007B353C">
        <w:trPr>
          <w:cantSplit/>
        </w:trPr>
        <w:tc>
          <w:tcPr>
            <w:tcW w:w="900" w:type="dxa"/>
            <w:vAlign w:val="center"/>
          </w:tcPr>
          <w:p w14:paraId="7B382AA9" w14:textId="500A47DF" w:rsidR="00442C43" w:rsidRDefault="00577608" w:rsidP="00B612A0">
            <w:pPr>
              <w:pStyle w:val="ListParagraph"/>
              <w:ind w:left="0"/>
              <w:jc w:val="center"/>
            </w:pPr>
            <w:r>
              <w:t>&lt;null&gt;</w:t>
            </w:r>
          </w:p>
        </w:tc>
        <w:tc>
          <w:tcPr>
            <w:tcW w:w="2250" w:type="dxa"/>
            <w:vAlign w:val="center"/>
          </w:tcPr>
          <w:p w14:paraId="06871E6A" w14:textId="146643E1" w:rsidR="00442C43" w:rsidRDefault="00D76167" w:rsidP="00DE6E3E">
            <w:pPr>
              <w:jc w:val="center"/>
            </w:pPr>
            <w:r>
              <w:t>Null in ICIS-NPDES</w:t>
            </w:r>
          </w:p>
          <w:p w14:paraId="34C9A016" w14:textId="16DDF732" w:rsidR="00D76167" w:rsidRDefault="00D76167" w:rsidP="00D76167">
            <w:pPr>
              <w:jc w:val="center"/>
            </w:pPr>
            <w:r>
              <w:t>‘No Viol’ in ECHO</w:t>
            </w:r>
          </w:p>
        </w:tc>
        <w:tc>
          <w:tcPr>
            <w:tcW w:w="1170" w:type="dxa"/>
            <w:vAlign w:val="center"/>
          </w:tcPr>
          <w:p w14:paraId="360F4E39" w14:textId="1F25D2B6" w:rsidR="00442C43" w:rsidRDefault="00577608" w:rsidP="00B612A0">
            <w:pPr>
              <w:pStyle w:val="ListParagraph"/>
              <w:ind w:left="0"/>
              <w:jc w:val="center"/>
            </w:pPr>
            <w:r w:rsidRPr="00577608">
              <w:t>N/A</w:t>
            </w:r>
          </w:p>
        </w:tc>
        <w:tc>
          <w:tcPr>
            <w:tcW w:w="5035" w:type="dxa"/>
            <w:vAlign w:val="center"/>
          </w:tcPr>
          <w:p w14:paraId="0438BF92" w14:textId="3C4C59F2" w:rsidR="00442C43" w:rsidRDefault="00577608" w:rsidP="00DE6E3E">
            <w:r w:rsidRPr="00577608">
              <w:t xml:space="preserve">Not considered in </w:t>
            </w:r>
            <w:r w:rsidR="0037602F">
              <w:t xml:space="preserve">violation (including </w:t>
            </w:r>
            <w:r w:rsidRPr="00577608">
              <w:t>RNC/SNC</w:t>
            </w:r>
            <w:r w:rsidR="0037602F">
              <w:t>)</w:t>
            </w:r>
          </w:p>
        </w:tc>
      </w:tr>
    </w:tbl>
    <w:p w14:paraId="4EFA1778" w14:textId="084FA060" w:rsidR="00442C43" w:rsidRDefault="00442C43" w:rsidP="00F75B7B">
      <w:pPr>
        <w:pStyle w:val="ListParagraph"/>
        <w:spacing w:after="0" w:line="240" w:lineRule="auto"/>
        <w:ind w:left="0"/>
      </w:pPr>
      <w:r w:rsidRPr="00C23737">
        <w:rPr>
          <w:b/>
        </w:rPr>
        <w:t>Source</w:t>
      </w:r>
      <w:r w:rsidR="0037602F">
        <w:rPr>
          <w:b/>
        </w:rPr>
        <w:t>s</w:t>
      </w:r>
      <w:r w:rsidRPr="00C23737">
        <w:rPr>
          <w:b/>
        </w:rPr>
        <w:t>:</w:t>
      </w:r>
      <w:r w:rsidRPr="00C23737">
        <w:t xml:space="preserve"> </w:t>
      </w:r>
      <w:r w:rsidR="00F75B7B" w:rsidRPr="00F75B7B">
        <w:t>Table 6.1-1.  Permit RNC Status Flag Hierarchy</w:t>
      </w:r>
      <w:r w:rsidR="00F75B7B">
        <w:t xml:space="preserve">, </w:t>
      </w:r>
      <w:r w:rsidR="00F75B7B" w:rsidRPr="00F75B7B">
        <w:t>RNC Processing Technical Design</w:t>
      </w:r>
      <w:r w:rsidR="00F75B7B">
        <w:t xml:space="preserve">, Version 1.17, 9 July 2013. </w:t>
      </w:r>
      <w:r w:rsidR="0037602F">
        <w:t>ECHO DFR Data Dictionary.</w:t>
      </w:r>
      <w:r w:rsidR="005D1130">
        <w:t xml:space="preserve"> ICIS-NPDES (REF_RNC_STATUS).</w:t>
      </w:r>
    </w:p>
    <w:p w14:paraId="6B633DEB" w14:textId="77777777" w:rsidR="00442C43" w:rsidRDefault="00442C43" w:rsidP="00442C43">
      <w:pPr>
        <w:pStyle w:val="ListParagraph"/>
        <w:spacing w:after="0" w:line="240" w:lineRule="auto"/>
      </w:pPr>
    </w:p>
    <w:p w14:paraId="5A125057" w14:textId="0139B425" w:rsidR="00B612A0" w:rsidRDefault="00B612A0" w:rsidP="00B612A0">
      <w:pPr>
        <w:pStyle w:val="ListParagraph"/>
        <w:spacing w:after="0" w:line="240" w:lineRule="auto"/>
        <w:ind w:left="0"/>
      </w:pPr>
      <w:r>
        <w:t xml:space="preserve">ICIS-NPDES users also have the ability to manually override the ICIS-NPDES system generated </w:t>
      </w:r>
      <w:r w:rsidR="007B353C">
        <w:t xml:space="preserve">RNC status codes </w:t>
      </w:r>
      <w:r w:rsidR="007B353C" w:rsidRPr="007B353C">
        <w:t xml:space="preserve">after the close of the FY Quarter </w:t>
      </w:r>
      <w:r w:rsidR="007B353C">
        <w:t xml:space="preserve">using the following </w:t>
      </w:r>
      <w:r w:rsidR="001C40BA" w:rsidRPr="001C40BA">
        <w:t>RNC status codes</w:t>
      </w:r>
      <w:r>
        <w:t>:</w:t>
      </w:r>
    </w:p>
    <w:p w14:paraId="29F605CD" w14:textId="77777777" w:rsidR="00B612A0" w:rsidRDefault="00B612A0" w:rsidP="00B612A0">
      <w:pPr>
        <w:pStyle w:val="ListParagraph"/>
        <w:spacing w:after="0" w:line="240" w:lineRule="auto"/>
        <w:ind w:left="0"/>
      </w:pPr>
    </w:p>
    <w:p w14:paraId="0F57FA4C" w14:textId="77777777" w:rsidR="001C40BA" w:rsidRDefault="00B612A0" w:rsidP="001C40BA">
      <w:pPr>
        <w:pStyle w:val="ListParagraph"/>
        <w:numPr>
          <w:ilvl w:val="0"/>
          <w:numId w:val="12"/>
        </w:numPr>
        <w:spacing w:after="0" w:line="240" w:lineRule="auto"/>
      </w:pPr>
      <w:r>
        <w:t>C</w:t>
      </w:r>
      <w:r w:rsidR="00F75B7B">
        <w:t xml:space="preserve"> - </w:t>
      </w:r>
      <w:r w:rsidRPr="00B612A0">
        <w:t>Compliant (only manually entered)</w:t>
      </w:r>
      <w:r w:rsidR="00F75B7B">
        <w:t xml:space="preserve">: </w:t>
      </w:r>
      <w:r w:rsidR="00F75B7B" w:rsidRPr="00F75B7B">
        <w:t>Facility Should Not Have Appeared on QNCR or Status Code Should Not Have Been Automatically Generated</w:t>
      </w:r>
    </w:p>
    <w:p w14:paraId="7E870393" w14:textId="3D29F60C" w:rsidR="00F75B7B" w:rsidRDefault="00F75B7B" w:rsidP="001C40BA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Q - </w:t>
      </w:r>
      <w:r w:rsidRPr="00F75B7B">
        <w:t>Revolved Pending – Compliance Schedule</w:t>
      </w:r>
      <w:r>
        <w:t xml:space="preserve">: </w:t>
      </w:r>
      <w:r w:rsidRPr="00F75B7B">
        <w:t>Revolved Pending – Compliance Schedule (manual only)</w:t>
      </w:r>
    </w:p>
    <w:p w14:paraId="0BA0F7DE" w14:textId="77777777" w:rsidR="00B612A0" w:rsidRDefault="00B612A0" w:rsidP="007B353C">
      <w:pPr>
        <w:spacing w:after="0" w:line="240" w:lineRule="auto"/>
      </w:pPr>
    </w:p>
    <w:p w14:paraId="3030354F" w14:textId="74829640" w:rsidR="0009104C" w:rsidRDefault="009E4A59" w:rsidP="0009104C">
      <w:pPr>
        <w:spacing w:after="0" w:line="240" w:lineRule="auto"/>
      </w:pPr>
      <w:r w:rsidRPr="009E4A59">
        <w:t xml:space="preserve">As shown above, DMR non-receipt violations initiate a process that sets the </w:t>
      </w:r>
      <w:r w:rsidR="00B612A0">
        <w:t>RNC</w:t>
      </w:r>
      <w:r w:rsidRPr="009E4A59">
        <w:t xml:space="preserve"> status code to “D”</w:t>
      </w:r>
      <w:r w:rsidR="00047601">
        <w:t xml:space="preserve"> or “N”</w:t>
      </w:r>
      <w:r w:rsidRPr="009E4A59">
        <w:t>, for the FY Quarter if these violations are not resolved before the end of the FY Quarter.</w:t>
      </w:r>
      <w:r>
        <w:t xml:space="preserve"> </w:t>
      </w:r>
      <w:r w:rsidR="00B612A0">
        <w:t>RNC</w:t>
      </w:r>
      <w:r w:rsidR="00047601" w:rsidRPr="00047601">
        <w:t xml:space="preserve"> status code “D”</w:t>
      </w:r>
      <w:r w:rsidR="00047601">
        <w:t xml:space="preserve">, which is Significant Noncompliance (SNC) for majors and Category 1 non-compliance for non-majors, is generated when one or more </w:t>
      </w:r>
      <w:r w:rsidR="00047601" w:rsidRPr="007B353C">
        <w:rPr>
          <w:u w:val="single"/>
        </w:rPr>
        <w:t>entire DMRs</w:t>
      </w:r>
      <w:r w:rsidR="00047601">
        <w:t xml:space="preserve"> are in the status of non-receipt.</w:t>
      </w:r>
      <w:r w:rsidR="00ED5842">
        <w:rPr>
          <w:rStyle w:val="FootnoteReference"/>
        </w:rPr>
        <w:footnoteReference w:id="2"/>
      </w:r>
      <w:r w:rsidR="00047601">
        <w:t xml:space="preserve"> </w:t>
      </w:r>
      <w:r w:rsidR="00B612A0">
        <w:t>RNC</w:t>
      </w:r>
      <w:r w:rsidR="00047601" w:rsidRPr="00047601">
        <w:t xml:space="preserve"> status code “</w:t>
      </w:r>
      <w:r w:rsidR="00047601">
        <w:t>N</w:t>
      </w:r>
      <w:r w:rsidR="00B612A0">
        <w:t xml:space="preserve">” </w:t>
      </w:r>
      <w:r w:rsidR="00047601">
        <w:t xml:space="preserve">is generated when one or more </w:t>
      </w:r>
      <w:r w:rsidR="00047601" w:rsidRPr="007B353C">
        <w:rPr>
          <w:u w:val="single"/>
        </w:rPr>
        <w:t>DMR values</w:t>
      </w:r>
      <w:r w:rsidR="00047601">
        <w:t xml:space="preserve"> are in the status of non-receipt. </w:t>
      </w:r>
    </w:p>
    <w:p w14:paraId="1200D1AA" w14:textId="77777777" w:rsidR="0009104C" w:rsidRDefault="0009104C" w:rsidP="0009104C">
      <w:pPr>
        <w:spacing w:after="0" w:line="240" w:lineRule="auto"/>
      </w:pPr>
    </w:p>
    <w:p w14:paraId="520B7982" w14:textId="5AEB463E" w:rsidR="0009104C" w:rsidRDefault="00C430C7" w:rsidP="0009104C">
      <w:pPr>
        <w:spacing w:after="0" w:line="240" w:lineRule="auto"/>
      </w:pPr>
      <w:r>
        <w:t xml:space="preserve">Additionally, </w:t>
      </w:r>
      <w:r w:rsidRPr="00C430C7">
        <w:t>EPA limits the duration for DMR non-re</w:t>
      </w:r>
      <w:r>
        <w:t xml:space="preserve">ceipt violations to affect the </w:t>
      </w:r>
      <w:r w:rsidR="00B612A0">
        <w:t>RNC</w:t>
      </w:r>
      <w:r>
        <w:t xml:space="preserve"> Status code</w:t>
      </w:r>
      <w:r w:rsidRPr="00C430C7">
        <w:t>. ICIS-NPDE</w:t>
      </w:r>
      <w:r>
        <w:t xml:space="preserve">S automatically prevents </w:t>
      </w:r>
      <w:r w:rsidRPr="00C430C7">
        <w:t>two year old (or older) DMR non-receipt</w:t>
      </w:r>
      <w:r>
        <w:t xml:space="preserve"> violations from affecting the </w:t>
      </w:r>
      <w:r w:rsidR="00B612A0">
        <w:t>RNC</w:t>
      </w:r>
      <w:r w:rsidRPr="00C430C7">
        <w:t xml:space="preserve"> Status code</w:t>
      </w:r>
      <w:r>
        <w:t xml:space="preserve"> a</w:t>
      </w:r>
      <w:r w:rsidRPr="00C430C7">
        <w:t>fter two years of no DMR non-receipt violations</w:t>
      </w:r>
      <w:r w:rsidR="00AF5994">
        <w:t xml:space="preserve"> [i.e., the RNC Resolution Code is set to “0”, which is “</w:t>
      </w:r>
      <w:r w:rsidR="00AF5994" w:rsidRPr="00AF5994">
        <w:t>Two Years Past Detection (System Administratively Resolved)</w:t>
      </w:r>
      <w:r w:rsidR="00AF5994">
        <w:t>”]</w:t>
      </w:r>
      <w:r w:rsidRPr="00C430C7">
        <w:t xml:space="preserve">. </w:t>
      </w:r>
      <w:r>
        <w:t>This helps reduce the number of permittees in SNC due to two year old or older DMR non-receipt violations</w:t>
      </w:r>
      <w:r w:rsidR="00CC7755">
        <w:t>.</w:t>
      </w:r>
    </w:p>
    <w:p w14:paraId="6B956D6D" w14:textId="77777777" w:rsidR="0009104C" w:rsidRDefault="0009104C" w:rsidP="0009104C">
      <w:pPr>
        <w:spacing w:after="0" w:line="240" w:lineRule="auto"/>
      </w:pPr>
    </w:p>
    <w:p w14:paraId="2B1CEBE6" w14:textId="284ED0B2" w:rsidR="009E4A59" w:rsidRDefault="00B467DA" w:rsidP="00F575FA">
      <w:pPr>
        <w:spacing w:after="0" w:line="240" w:lineRule="auto"/>
      </w:pPr>
      <w:r>
        <w:t xml:space="preserve">Currently, </w:t>
      </w:r>
      <w:r w:rsidR="009072A9">
        <w:t xml:space="preserve">ECHO </w:t>
      </w:r>
      <w:r w:rsidR="007C4804">
        <w:t xml:space="preserve">does not show </w:t>
      </w:r>
      <w:r w:rsidR="00B664E5">
        <w:t xml:space="preserve">the </w:t>
      </w:r>
      <w:r w:rsidR="009072A9" w:rsidRPr="00D65839">
        <w:t xml:space="preserve">DMR </w:t>
      </w:r>
      <w:r w:rsidR="00B664E5">
        <w:t>n</w:t>
      </w:r>
      <w:r w:rsidR="009072A9" w:rsidRPr="00D65839">
        <w:t>on-</w:t>
      </w:r>
      <w:r w:rsidR="00B664E5">
        <w:t>r</w:t>
      </w:r>
      <w:r w:rsidR="009072A9" w:rsidRPr="00D65839">
        <w:t>eceipt</w:t>
      </w:r>
      <w:r w:rsidR="00B664E5">
        <w:t xml:space="preserve"> violations</w:t>
      </w:r>
      <w:r w:rsidR="009072A9" w:rsidRPr="00D65839">
        <w:t xml:space="preserve"> </w:t>
      </w:r>
      <w:r w:rsidR="009072A9">
        <w:t>for non-majors in most states (</w:t>
      </w:r>
      <w:r w:rsidR="00B664E5">
        <w:t xml:space="preserve">the </w:t>
      </w:r>
      <w:r w:rsidR="009072A9">
        <w:t xml:space="preserve">exceptions being </w:t>
      </w:r>
      <w:r w:rsidR="007B353C">
        <w:t>Arkansas</w:t>
      </w:r>
      <w:r w:rsidR="009072A9">
        <w:t xml:space="preserve"> and </w:t>
      </w:r>
      <w:r w:rsidR="007B353C">
        <w:t>Louisiana,</w:t>
      </w:r>
      <w:r w:rsidR="00B664E5">
        <w:t xml:space="preserve"> as requested by these two states</w:t>
      </w:r>
      <w:r w:rsidR="009072A9">
        <w:t xml:space="preserve">). ECHO </w:t>
      </w:r>
      <w:r w:rsidR="007C4804">
        <w:t xml:space="preserve">also </w:t>
      </w:r>
      <w:r w:rsidR="00B710CD">
        <w:t xml:space="preserve">only </w:t>
      </w:r>
      <w:r w:rsidR="009072A9">
        <w:t xml:space="preserve">shows the compliance status as “Unknown” </w:t>
      </w:r>
      <w:r w:rsidR="007C4804">
        <w:t>for non-majors that only have these</w:t>
      </w:r>
      <w:r w:rsidR="007C4804" w:rsidRPr="007C4804">
        <w:t xml:space="preserve"> DMR non-receipt violations</w:t>
      </w:r>
      <w:r w:rsidR="007B353C">
        <w:t xml:space="preserve"> (and no other NPDES </w:t>
      </w:r>
      <w:r w:rsidR="007C4804">
        <w:t xml:space="preserve">violations). </w:t>
      </w:r>
      <w:r w:rsidR="00F575FA">
        <w:t>T</w:t>
      </w:r>
      <w:r w:rsidR="007B353C">
        <w:t xml:space="preserve">he following figures </w:t>
      </w:r>
      <w:r w:rsidR="00F575FA">
        <w:t>show how ICIS-NPDES displays permit compliance status and DMR non-receipt violations for a non-major facility and how ECHO masks these data.</w:t>
      </w:r>
    </w:p>
    <w:p w14:paraId="680710A4" w14:textId="77777777" w:rsidR="0009104C" w:rsidRDefault="0009104C">
      <w:r>
        <w:br w:type="page"/>
      </w:r>
    </w:p>
    <w:p w14:paraId="7560BD9F" w14:textId="7A1A72F4" w:rsidR="00BC6BE9" w:rsidRDefault="00F575FA" w:rsidP="00BC6BE9">
      <w:pPr>
        <w:spacing w:after="0" w:line="240" w:lineRule="auto"/>
      </w:pPr>
      <w:r>
        <w:rPr>
          <w:b/>
        </w:rPr>
        <w:lastRenderedPageBreak/>
        <w:t xml:space="preserve">Figure A1-1: </w:t>
      </w:r>
      <w:r w:rsidR="00BC6BE9">
        <w:t xml:space="preserve">ICIS-NPDES Showing RNC Status (including DMR Non-Receipt Violations) </w:t>
      </w:r>
      <w:r w:rsidR="00CC7755">
        <w:t>for a Non-Major Permittee</w:t>
      </w:r>
    </w:p>
    <w:p w14:paraId="1B57837C" w14:textId="77777777" w:rsidR="00BC6BE9" w:rsidRDefault="00BC6BE9" w:rsidP="00BC6BE9">
      <w:pPr>
        <w:spacing w:after="0" w:line="240" w:lineRule="auto"/>
      </w:pPr>
    </w:p>
    <w:p w14:paraId="075BF64E" w14:textId="77777777" w:rsidR="00BC6BE9" w:rsidRDefault="00BC6BE9" w:rsidP="00BC6BE9">
      <w:pPr>
        <w:spacing w:after="0" w:line="240" w:lineRule="auto"/>
      </w:pPr>
      <w:r>
        <w:rPr>
          <w:noProof/>
        </w:rPr>
        <w:drawing>
          <wp:inline distT="0" distB="0" distL="0" distR="0" wp14:anchorId="08519B25" wp14:editId="3DB99975">
            <wp:extent cx="5943600" cy="18084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4C209" w14:textId="77777777" w:rsidR="00BC6BE9" w:rsidRDefault="00BC6BE9" w:rsidP="00BC6BE9">
      <w:pPr>
        <w:spacing w:after="0" w:line="240" w:lineRule="auto"/>
      </w:pPr>
    </w:p>
    <w:p w14:paraId="4794B9D9" w14:textId="77777777" w:rsidR="00BC6BE9" w:rsidRDefault="00BC6BE9" w:rsidP="00BC6BE9">
      <w:pPr>
        <w:spacing w:after="0" w:line="240" w:lineRule="auto"/>
      </w:pPr>
    </w:p>
    <w:p w14:paraId="2FAA86EF" w14:textId="37D9B50F" w:rsidR="00BC6BE9" w:rsidRDefault="00F575FA" w:rsidP="00BC6BE9">
      <w:pPr>
        <w:spacing w:after="0" w:line="240" w:lineRule="auto"/>
      </w:pPr>
      <w:r>
        <w:rPr>
          <w:b/>
        </w:rPr>
        <w:t xml:space="preserve">Figure A1-2: </w:t>
      </w:r>
      <w:r w:rsidR="00BC6BE9">
        <w:t xml:space="preserve">Example ECHO </w:t>
      </w:r>
      <w:r w:rsidR="00842C54">
        <w:t>Detailed Facility Report (</w:t>
      </w:r>
      <w:r w:rsidR="00BC6BE9">
        <w:t>DFR</w:t>
      </w:r>
      <w:r w:rsidR="00842C54">
        <w:t>)</w:t>
      </w:r>
      <w:r w:rsidR="00BC6BE9">
        <w:t xml:space="preserve"> Showing “Unknown” </w:t>
      </w:r>
      <w:r w:rsidR="00CC7755" w:rsidRPr="00CC7755">
        <w:t>(Grey Box with ‘U</w:t>
      </w:r>
      <w:r>
        <w:t>nk</w:t>
      </w:r>
      <w:r w:rsidR="00CC7755" w:rsidRPr="00CC7755">
        <w:t xml:space="preserve">’) </w:t>
      </w:r>
      <w:r>
        <w:t xml:space="preserve">Facility-Level </w:t>
      </w:r>
      <w:r w:rsidR="00CC7755">
        <w:t xml:space="preserve">Status </w:t>
      </w:r>
      <w:r>
        <w:t xml:space="preserve">(i.e., RNC Status) </w:t>
      </w:r>
      <w:r w:rsidR="00CC7755">
        <w:t xml:space="preserve">for </w:t>
      </w:r>
      <w:r>
        <w:t xml:space="preserve">the same </w:t>
      </w:r>
      <w:r w:rsidR="00CC7755">
        <w:t>Non-M</w:t>
      </w:r>
      <w:r w:rsidR="00CC7755" w:rsidRPr="00CC7755">
        <w:t xml:space="preserve">ajor </w:t>
      </w:r>
      <w:r w:rsidR="00CC7755">
        <w:t>Permittee</w:t>
      </w:r>
      <w:r>
        <w:t xml:space="preserve"> in Figure A1-1.</w:t>
      </w:r>
    </w:p>
    <w:p w14:paraId="3C075524" w14:textId="77777777" w:rsidR="00BC6BE9" w:rsidRDefault="00BC6BE9" w:rsidP="009072A9">
      <w:pPr>
        <w:spacing w:after="0" w:line="240" w:lineRule="auto"/>
        <w:ind w:left="720"/>
      </w:pPr>
    </w:p>
    <w:p w14:paraId="005A2983" w14:textId="77777777" w:rsidR="007C4804" w:rsidRDefault="00BC6BE9" w:rsidP="007C4804">
      <w:r>
        <w:rPr>
          <w:noProof/>
        </w:rPr>
        <w:drawing>
          <wp:inline distT="0" distB="0" distL="0" distR="0" wp14:anchorId="1440EE21" wp14:editId="19FC2C8D">
            <wp:extent cx="5943600" cy="24345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F8733" w14:textId="1412DC8A" w:rsidR="00174154" w:rsidRPr="0009104C" w:rsidRDefault="00174154" w:rsidP="0009104C">
      <w:pPr>
        <w:rPr>
          <w:b/>
        </w:rPr>
      </w:pPr>
    </w:p>
    <w:p w14:paraId="6EF277FB" w14:textId="77777777" w:rsidR="001E483C" w:rsidRDefault="001E483C" w:rsidP="001E483C">
      <w:pPr>
        <w:pStyle w:val="ListParagraph"/>
        <w:spacing w:after="0" w:line="240" w:lineRule="auto"/>
      </w:pPr>
    </w:p>
    <w:p w14:paraId="5B1DDD37" w14:textId="77777777" w:rsidR="00D802F1" w:rsidRDefault="00D802F1">
      <w:r>
        <w:br w:type="page"/>
      </w:r>
    </w:p>
    <w:p w14:paraId="1E5C08B6" w14:textId="77777777" w:rsidR="00827E33" w:rsidRDefault="00827E33" w:rsidP="00CD4728">
      <w:pPr>
        <w:sectPr w:rsidR="00827E33" w:rsidSect="000B71A6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216778" w14:textId="6F80108C" w:rsidR="00827E33" w:rsidRDefault="00A11525" w:rsidP="00827E33">
      <w:pPr>
        <w:jc w:val="center"/>
      </w:pPr>
      <w:r w:rsidRPr="00827E33">
        <w:rPr>
          <w:b/>
        </w:rPr>
        <w:lastRenderedPageBreak/>
        <w:t xml:space="preserve">Attachment 2 – Scenarios Showing </w:t>
      </w:r>
      <w:r w:rsidR="00B612A0">
        <w:rPr>
          <w:b/>
        </w:rPr>
        <w:t>RNC</w:t>
      </w:r>
      <w:r w:rsidRPr="00827E33">
        <w:rPr>
          <w:b/>
        </w:rPr>
        <w:t xml:space="preserve"> Code Changes in ICIS-NPDES, ECHO Gov, and ECHO</w:t>
      </w:r>
      <w:r w:rsidR="00827E33" w:rsidRPr="00827E33">
        <w:rPr>
          <w:noProof/>
        </w:rPr>
        <w:drawing>
          <wp:inline distT="0" distB="0" distL="0" distR="0" wp14:anchorId="7C44FCFE" wp14:editId="2BB4794F">
            <wp:extent cx="8229600" cy="293914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93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7E33" w:rsidRPr="00827E33">
        <w:rPr>
          <w:noProof/>
        </w:rPr>
        <w:drawing>
          <wp:inline distT="0" distB="0" distL="0" distR="0" wp14:anchorId="711E9CF4" wp14:editId="0AB821C0">
            <wp:extent cx="8229600" cy="278773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78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37148" w14:textId="20857E1E" w:rsidR="00827E33" w:rsidRDefault="00827E33" w:rsidP="00827E33">
      <w:r w:rsidRPr="00827E33">
        <w:rPr>
          <w:noProof/>
        </w:rPr>
        <w:lastRenderedPageBreak/>
        <w:drawing>
          <wp:inline distT="0" distB="0" distL="0" distR="0" wp14:anchorId="46115664" wp14:editId="35666282">
            <wp:extent cx="8229600" cy="2867891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86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1A3B3" w14:textId="3786F231" w:rsidR="00827E33" w:rsidRDefault="00827E33" w:rsidP="00827E33">
      <w:r w:rsidRPr="00827E33">
        <w:rPr>
          <w:noProof/>
        </w:rPr>
        <w:drawing>
          <wp:inline distT="0" distB="0" distL="0" distR="0" wp14:anchorId="58689C0D" wp14:editId="022C848E">
            <wp:extent cx="8229600" cy="278773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78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7E33" w:rsidSect="00827E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F657E" w14:textId="77777777" w:rsidR="00B01126" w:rsidRDefault="00B01126" w:rsidP="00BC6BE9">
      <w:pPr>
        <w:spacing w:after="0" w:line="240" w:lineRule="auto"/>
      </w:pPr>
      <w:r>
        <w:separator/>
      </w:r>
    </w:p>
  </w:endnote>
  <w:endnote w:type="continuationSeparator" w:id="0">
    <w:p w14:paraId="098F40CB" w14:textId="77777777" w:rsidR="00B01126" w:rsidRDefault="00B01126" w:rsidP="00BC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24A1E" w14:textId="77777777" w:rsidR="00B01126" w:rsidRDefault="00B01126" w:rsidP="00BC6BE9">
      <w:pPr>
        <w:spacing w:after="0" w:line="240" w:lineRule="auto"/>
      </w:pPr>
      <w:r>
        <w:separator/>
      </w:r>
    </w:p>
  </w:footnote>
  <w:footnote w:type="continuationSeparator" w:id="0">
    <w:p w14:paraId="4377CA65" w14:textId="77777777" w:rsidR="00B01126" w:rsidRDefault="00B01126" w:rsidP="00BC6BE9">
      <w:pPr>
        <w:spacing w:after="0" w:line="240" w:lineRule="auto"/>
      </w:pPr>
      <w:r>
        <w:continuationSeparator/>
      </w:r>
    </w:p>
  </w:footnote>
  <w:footnote w:id="1">
    <w:p w14:paraId="0D046B05" w14:textId="2B9C9F94" w:rsidR="001E0EC8" w:rsidRDefault="001E0EC8">
      <w:pPr>
        <w:pStyle w:val="FootnoteText"/>
      </w:pPr>
      <w:r>
        <w:rPr>
          <w:rStyle w:val="FootnoteReference"/>
        </w:rPr>
        <w:footnoteRef/>
      </w:r>
      <w:r>
        <w:t xml:space="preserve"> The </w:t>
      </w:r>
      <w:r w:rsidRPr="001E0EC8">
        <w:t xml:space="preserve">ICIS-NPDES </w:t>
      </w:r>
      <w:r w:rsidR="00B612A0">
        <w:t>RNC</w:t>
      </w:r>
      <w:r w:rsidRPr="001E0EC8">
        <w:t xml:space="preserve"> Status code </w:t>
      </w:r>
      <w:r>
        <w:t xml:space="preserve">will </w:t>
      </w:r>
      <w:r w:rsidRPr="001E0EC8">
        <w:t>show the permittee compliance status</w:t>
      </w:r>
      <w:r>
        <w:t xml:space="preserve"> </w:t>
      </w:r>
      <w:r w:rsidRPr="001E0EC8">
        <w:t>as “Unknown” when one or both of the “DMR Non-Receipt” or “Permit Compliance Tracking Status” data elements are set to “Off.”</w:t>
      </w:r>
    </w:p>
  </w:footnote>
  <w:footnote w:id="2">
    <w:p w14:paraId="7E988FCD" w14:textId="4A1EC2DB" w:rsidR="00224E96" w:rsidRDefault="00ED5842" w:rsidP="00224E96">
      <w:pPr>
        <w:pStyle w:val="FootnoteText"/>
      </w:pPr>
      <w:r>
        <w:rPr>
          <w:rStyle w:val="FootnoteReference"/>
        </w:rPr>
        <w:footnoteRef/>
      </w:r>
      <w:r>
        <w:t xml:space="preserve"> ICIS-NPDES process also considers whether a permitted feature has one or more DMR reporting requirements</w:t>
      </w:r>
      <w:r w:rsidR="00303E9C">
        <w:t xml:space="preserve"> in its DMR non-receipt processing</w:t>
      </w:r>
      <w:r>
        <w:t xml:space="preserve">. For example, </w:t>
      </w:r>
      <w:r w:rsidR="00303E9C" w:rsidRPr="00303E9C">
        <w:t xml:space="preserve">if a permitted facility has </w:t>
      </w:r>
      <w:r w:rsidR="00224E96">
        <w:t>a</w:t>
      </w:r>
      <w:r w:rsidR="00303E9C" w:rsidRPr="00303E9C">
        <w:t xml:space="preserve"> permitted feature (Outfall 001) with two DMR reporting requirements</w:t>
      </w:r>
      <w:r w:rsidR="00303E9C">
        <w:t xml:space="preserve"> (001A and 001Q)</w:t>
      </w:r>
      <w:r w:rsidR="00303E9C" w:rsidRPr="00303E9C">
        <w:t>, then ICIS-NPDES would evaluate the DMR reporting requirements for both DMR reporting requirements</w:t>
      </w:r>
      <w:r w:rsidR="00303E9C">
        <w:t xml:space="preserve"> together</w:t>
      </w:r>
      <w:r w:rsidR="00303E9C" w:rsidRPr="00303E9C">
        <w:t xml:space="preserve">. </w:t>
      </w:r>
      <w:r w:rsidR="00303E9C">
        <w:t xml:space="preserve">This means that ICIS-NPDES would only generate the </w:t>
      </w:r>
      <w:r w:rsidR="00B612A0">
        <w:t>RNC</w:t>
      </w:r>
      <w:r w:rsidR="00303E9C" w:rsidRPr="00303E9C">
        <w:t xml:space="preserve"> status code “D”</w:t>
      </w:r>
      <w:r w:rsidR="00303E9C">
        <w:t xml:space="preserve"> when </w:t>
      </w:r>
      <w:r w:rsidR="00303E9C" w:rsidRPr="007B353C">
        <w:rPr>
          <w:u w:val="single"/>
        </w:rPr>
        <w:t>both</w:t>
      </w:r>
      <w:r w:rsidR="00303E9C">
        <w:t xml:space="preserve"> of the DMRs </w:t>
      </w:r>
      <w:r w:rsidR="00303E9C" w:rsidRPr="00303E9C">
        <w:t>(001A and 001Q)</w:t>
      </w:r>
      <w:r w:rsidR="00303E9C">
        <w:t xml:space="preserve"> are </w:t>
      </w:r>
      <w:r w:rsidR="007B353C">
        <w:t xml:space="preserve">in non-receipt status for the same reporting period. </w:t>
      </w:r>
      <w:r w:rsidR="00224E96">
        <w:t>Using another example</w:t>
      </w:r>
      <w:r w:rsidR="00303E9C">
        <w:t xml:space="preserve">, </w:t>
      </w:r>
      <w:r>
        <w:t>if a permitted facility has two permitted features (Outfall 001 and Outfall 002), each with only one DMR reporting requirement per permitted feature, then ICIS-NPDES would evaluate the DMR reporting requirements for Outfall 001 separately from Outfall 002</w:t>
      </w:r>
      <w:r w:rsidR="00224E96">
        <w:t>.</w:t>
      </w:r>
    </w:p>
    <w:p w14:paraId="2978CB88" w14:textId="0001FFC0" w:rsidR="00ED5842" w:rsidRDefault="00ED5842" w:rsidP="00ED5842">
      <w:pPr>
        <w:pStyle w:val="FootnoteText"/>
      </w:pP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14A4B" w14:textId="138A3089" w:rsidR="00E352EA" w:rsidRPr="00E352EA" w:rsidRDefault="00E352EA" w:rsidP="00E352EA">
    <w:pPr>
      <w:pStyle w:val="Header"/>
      <w:jc w:val="center"/>
    </w:pPr>
    <w:r w:rsidRPr="00E352EA">
      <w:rPr>
        <w:b/>
      </w:rPr>
      <w:t>DRAFT FOR EPA REGIONAL AND STATE COMMENT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117E"/>
    <w:multiLevelType w:val="hybridMultilevel"/>
    <w:tmpl w:val="35068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E65B3"/>
    <w:multiLevelType w:val="hybridMultilevel"/>
    <w:tmpl w:val="BB66A97E"/>
    <w:lvl w:ilvl="0" w:tplc="950A10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543D0"/>
    <w:multiLevelType w:val="hybridMultilevel"/>
    <w:tmpl w:val="7A405938"/>
    <w:lvl w:ilvl="0" w:tplc="950A10E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0762"/>
    <w:multiLevelType w:val="hybridMultilevel"/>
    <w:tmpl w:val="C2640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E308A"/>
    <w:multiLevelType w:val="hybridMultilevel"/>
    <w:tmpl w:val="9356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B3CCA"/>
    <w:multiLevelType w:val="hybridMultilevel"/>
    <w:tmpl w:val="AEB25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E44627"/>
    <w:multiLevelType w:val="hybridMultilevel"/>
    <w:tmpl w:val="F6A81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F36AF5"/>
    <w:multiLevelType w:val="hybridMultilevel"/>
    <w:tmpl w:val="341EB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C1570C"/>
    <w:multiLevelType w:val="hybridMultilevel"/>
    <w:tmpl w:val="5852A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320ECE"/>
    <w:multiLevelType w:val="hybridMultilevel"/>
    <w:tmpl w:val="737A7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0A10E2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495633"/>
    <w:multiLevelType w:val="hybridMultilevel"/>
    <w:tmpl w:val="731C7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736ECB"/>
    <w:multiLevelType w:val="hybridMultilevel"/>
    <w:tmpl w:val="3F6E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D2"/>
    <w:rsid w:val="00025AC4"/>
    <w:rsid w:val="00047601"/>
    <w:rsid w:val="000547DC"/>
    <w:rsid w:val="000707FF"/>
    <w:rsid w:val="0008182B"/>
    <w:rsid w:val="0009104C"/>
    <w:rsid w:val="000A0411"/>
    <w:rsid w:val="000A357E"/>
    <w:rsid w:val="000B094C"/>
    <w:rsid w:val="000B71A6"/>
    <w:rsid w:val="000C471A"/>
    <w:rsid w:val="000F06A6"/>
    <w:rsid w:val="00110B90"/>
    <w:rsid w:val="00135AD2"/>
    <w:rsid w:val="00135F36"/>
    <w:rsid w:val="00143140"/>
    <w:rsid w:val="00174154"/>
    <w:rsid w:val="001C40BA"/>
    <w:rsid w:val="001E03D1"/>
    <w:rsid w:val="001E0EC8"/>
    <w:rsid w:val="001E483C"/>
    <w:rsid w:val="001E5B1A"/>
    <w:rsid w:val="002031CB"/>
    <w:rsid w:val="00207C35"/>
    <w:rsid w:val="00222103"/>
    <w:rsid w:val="0022332F"/>
    <w:rsid w:val="00224E96"/>
    <w:rsid w:val="002741D8"/>
    <w:rsid w:val="0029709A"/>
    <w:rsid w:val="002A51DB"/>
    <w:rsid w:val="002E2D75"/>
    <w:rsid w:val="002F22A1"/>
    <w:rsid w:val="00303E9C"/>
    <w:rsid w:val="0032622D"/>
    <w:rsid w:val="0033260A"/>
    <w:rsid w:val="00350A38"/>
    <w:rsid w:val="003603F9"/>
    <w:rsid w:val="0037602F"/>
    <w:rsid w:val="003773E8"/>
    <w:rsid w:val="00395A44"/>
    <w:rsid w:val="003B3052"/>
    <w:rsid w:val="003C5442"/>
    <w:rsid w:val="003F2646"/>
    <w:rsid w:val="00406744"/>
    <w:rsid w:val="0040789C"/>
    <w:rsid w:val="00442C43"/>
    <w:rsid w:val="004541FC"/>
    <w:rsid w:val="00483DA6"/>
    <w:rsid w:val="004E77C0"/>
    <w:rsid w:val="005024BC"/>
    <w:rsid w:val="005308F7"/>
    <w:rsid w:val="00561F4C"/>
    <w:rsid w:val="00577608"/>
    <w:rsid w:val="005B28AE"/>
    <w:rsid w:val="005D1130"/>
    <w:rsid w:val="005D5B63"/>
    <w:rsid w:val="00625B71"/>
    <w:rsid w:val="00634487"/>
    <w:rsid w:val="00642713"/>
    <w:rsid w:val="006431C5"/>
    <w:rsid w:val="00680A78"/>
    <w:rsid w:val="00691B02"/>
    <w:rsid w:val="006C134D"/>
    <w:rsid w:val="006C4D74"/>
    <w:rsid w:val="006D5827"/>
    <w:rsid w:val="006E1552"/>
    <w:rsid w:val="006F40EA"/>
    <w:rsid w:val="006F44A6"/>
    <w:rsid w:val="00727A9E"/>
    <w:rsid w:val="00773F8E"/>
    <w:rsid w:val="007A30AB"/>
    <w:rsid w:val="007B353C"/>
    <w:rsid w:val="007B6970"/>
    <w:rsid w:val="007C4804"/>
    <w:rsid w:val="007D3B0D"/>
    <w:rsid w:val="007E20F8"/>
    <w:rsid w:val="007F1A8F"/>
    <w:rsid w:val="00815515"/>
    <w:rsid w:val="00821979"/>
    <w:rsid w:val="00827E33"/>
    <w:rsid w:val="00842C54"/>
    <w:rsid w:val="00867B98"/>
    <w:rsid w:val="00870DF6"/>
    <w:rsid w:val="00877658"/>
    <w:rsid w:val="00883D71"/>
    <w:rsid w:val="00884EBA"/>
    <w:rsid w:val="0088572F"/>
    <w:rsid w:val="00885BCB"/>
    <w:rsid w:val="00896F16"/>
    <w:rsid w:val="008C0EA6"/>
    <w:rsid w:val="008F61F4"/>
    <w:rsid w:val="009072A9"/>
    <w:rsid w:val="009136E9"/>
    <w:rsid w:val="0093543E"/>
    <w:rsid w:val="009431D7"/>
    <w:rsid w:val="0094509A"/>
    <w:rsid w:val="0096620E"/>
    <w:rsid w:val="0097786A"/>
    <w:rsid w:val="00987F4E"/>
    <w:rsid w:val="009A4AF2"/>
    <w:rsid w:val="009B624D"/>
    <w:rsid w:val="009C61B6"/>
    <w:rsid w:val="009D3C51"/>
    <w:rsid w:val="009D6B45"/>
    <w:rsid w:val="009E07D1"/>
    <w:rsid w:val="009E4A59"/>
    <w:rsid w:val="00A07F8F"/>
    <w:rsid w:val="00A11525"/>
    <w:rsid w:val="00A37E3C"/>
    <w:rsid w:val="00A4435E"/>
    <w:rsid w:val="00A554B7"/>
    <w:rsid w:val="00A91A99"/>
    <w:rsid w:val="00AA2052"/>
    <w:rsid w:val="00AF5994"/>
    <w:rsid w:val="00B01126"/>
    <w:rsid w:val="00B01C86"/>
    <w:rsid w:val="00B34A4F"/>
    <w:rsid w:val="00B467DA"/>
    <w:rsid w:val="00B55D52"/>
    <w:rsid w:val="00B612A0"/>
    <w:rsid w:val="00B62438"/>
    <w:rsid w:val="00B664E5"/>
    <w:rsid w:val="00B710CD"/>
    <w:rsid w:val="00B74828"/>
    <w:rsid w:val="00B75998"/>
    <w:rsid w:val="00B831C4"/>
    <w:rsid w:val="00BA148B"/>
    <w:rsid w:val="00BC6BE9"/>
    <w:rsid w:val="00BE00C1"/>
    <w:rsid w:val="00BF7625"/>
    <w:rsid w:val="00C23737"/>
    <w:rsid w:val="00C41231"/>
    <w:rsid w:val="00C430C7"/>
    <w:rsid w:val="00C536FF"/>
    <w:rsid w:val="00C951DA"/>
    <w:rsid w:val="00C970ED"/>
    <w:rsid w:val="00CC7755"/>
    <w:rsid w:val="00CD4728"/>
    <w:rsid w:val="00CD5188"/>
    <w:rsid w:val="00D20A43"/>
    <w:rsid w:val="00D30776"/>
    <w:rsid w:val="00D43758"/>
    <w:rsid w:val="00D457DB"/>
    <w:rsid w:val="00D51BBF"/>
    <w:rsid w:val="00D55F9C"/>
    <w:rsid w:val="00D65839"/>
    <w:rsid w:val="00D76167"/>
    <w:rsid w:val="00D802F1"/>
    <w:rsid w:val="00DC4999"/>
    <w:rsid w:val="00DD363A"/>
    <w:rsid w:val="00E25CDA"/>
    <w:rsid w:val="00E352EA"/>
    <w:rsid w:val="00E37D8A"/>
    <w:rsid w:val="00E40969"/>
    <w:rsid w:val="00E42830"/>
    <w:rsid w:val="00E47248"/>
    <w:rsid w:val="00E52FE8"/>
    <w:rsid w:val="00E754BD"/>
    <w:rsid w:val="00E81542"/>
    <w:rsid w:val="00EB15B9"/>
    <w:rsid w:val="00EC03F1"/>
    <w:rsid w:val="00ED5842"/>
    <w:rsid w:val="00EF6084"/>
    <w:rsid w:val="00EF79A3"/>
    <w:rsid w:val="00F3701E"/>
    <w:rsid w:val="00F42B27"/>
    <w:rsid w:val="00F575FA"/>
    <w:rsid w:val="00F6092B"/>
    <w:rsid w:val="00F721C7"/>
    <w:rsid w:val="00F72EA1"/>
    <w:rsid w:val="00F740DE"/>
    <w:rsid w:val="00F75546"/>
    <w:rsid w:val="00F75B7B"/>
    <w:rsid w:val="00F81601"/>
    <w:rsid w:val="00F81796"/>
    <w:rsid w:val="00FB4F79"/>
    <w:rsid w:val="00FC47B5"/>
    <w:rsid w:val="00F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08687"/>
  <w15:chartTrackingRefBased/>
  <w15:docId w15:val="{FB28889F-7BDE-4626-BA76-D1568F0C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B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7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6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BE9"/>
  </w:style>
  <w:style w:type="paragraph" w:styleId="Footer">
    <w:name w:val="footer"/>
    <w:basedOn w:val="Normal"/>
    <w:link w:val="FooterChar"/>
    <w:uiPriority w:val="99"/>
    <w:unhideWhenUsed/>
    <w:rsid w:val="00BC6B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BE9"/>
  </w:style>
  <w:style w:type="table" w:styleId="TableGrid">
    <w:name w:val="Table Grid"/>
    <w:basedOn w:val="TableNormal"/>
    <w:uiPriority w:val="39"/>
    <w:rsid w:val="00C2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60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104C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D58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58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5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7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32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5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08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3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9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bin.steven@epa.go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hnston.carey@epa.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22605-0259-4A87-AF9A-A636DB88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Carey</dc:creator>
  <cp:keywords/>
  <dc:description/>
  <cp:lastModifiedBy>Johnston, Carey</cp:lastModifiedBy>
  <cp:revision>2</cp:revision>
  <cp:lastPrinted>2016-09-16T15:32:00Z</cp:lastPrinted>
  <dcterms:created xsi:type="dcterms:W3CDTF">2016-11-02T21:50:00Z</dcterms:created>
  <dcterms:modified xsi:type="dcterms:W3CDTF">2016-11-02T21:50:00Z</dcterms:modified>
</cp:coreProperties>
</file>